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2F55" w14:textId="7D65893C" w:rsidR="00D314FE" w:rsidRPr="00863727" w:rsidRDefault="00863727" w:rsidP="00863727">
      <w:pPr>
        <w:pStyle w:val="Heading1"/>
        <w:rPr>
          <w:lang w:val="en-GB"/>
        </w:rPr>
      </w:pPr>
      <w:r>
        <w:rPr>
          <w:noProof/>
        </w:rPr>
        <w:drawing>
          <wp:anchor distT="0" distB="0" distL="114300" distR="114300" simplePos="0" relativeHeight="251658240" behindDoc="0" locked="0" layoutInCell="1" allowOverlap="1" wp14:anchorId="1CC20BDD" wp14:editId="70923191">
            <wp:simplePos x="0" y="0"/>
            <wp:positionH relativeFrom="column">
              <wp:posOffset>4664075</wp:posOffset>
            </wp:positionH>
            <wp:positionV relativeFrom="paragraph">
              <wp:posOffset>-425450</wp:posOffset>
            </wp:positionV>
            <wp:extent cx="1800225" cy="1800225"/>
            <wp:effectExtent l="0" t="0" r="0" b="0"/>
            <wp:wrapNone/>
            <wp:docPr id="95070175" name="drawing">
              <a:extLst xmlns:a="http://schemas.openxmlformats.org/drawingml/2006/main">
                <a:ext uri="{FF2B5EF4-FFF2-40B4-BE49-F238E27FC236}">
                  <a16:creationId xmlns:a16="http://schemas.microsoft.com/office/drawing/2014/main" id="{D5650D5D-7968-409F-9538-53C7C7290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0175" name=""/>
                    <pic:cNvPicPr/>
                  </pic:nvPicPr>
                  <pic:blipFill>
                    <a:blip r:embed="rId9">
                      <a:extLst>
                        <a:ext uri="{28A0092B-C50C-407E-A947-70E740481C1C}">
                          <a14:useLocalDpi xmlns:a14="http://schemas.microsoft.com/office/drawing/2010/main"/>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r w:rsidR="0027157B" w:rsidRPr="179FE4EB">
        <w:rPr>
          <w:lang w:val="en-GB"/>
        </w:rPr>
        <w:t>Three Things: A Parish Guide to Mission Action Planning (MAP)</w:t>
      </w:r>
    </w:p>
    <w:p w14:paraId="5EA1A226" w14:textId="77777777" w:rsidR="00D314FE" w:rsidRPr="00662414" w:rsidRDefault="0027157B"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Helping your church take faithful, practical steps forward</w:t>
      </w:r>
    </w:p>
    <w:p w14:paraId="79D67693" w14:textId="77777777" w:rsidR="00D314FE" w:rsidRPr="00662414" w:rsidRDefault="0027157B" w:rsidP="179FE4EB">
      <w:pPr>
        <w:pStyle w:val="Heading2"/>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1. Start with Listening</w:t>
      </w:r>
    </w:p>
    <w:p w14:paraId="338FDF63" w14:textId="195B931E" w:rsidR="00D314FE" w:rsidRPr="00662414" w:rsidRDefault="0027157B"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Before deciding what to do, take time to listen</w:t>
      </w:r>
      <w:r w:rsidR="0031027F" w:rsidRPr="179FE4EB">
        <w:rPr>
          <w:rFonts w:ascii="Source Sans Pro" w:eastAsia="Source Sans Pro" w:hAnsi="Source Sans Pro" w:cs="Source Sans Pro"/>
          <w:sz w:val="24"/>
          <w:szCs w:val="24"/>
          <w:lang w:val="en-GB"/>
        </w:rPr>
        <w:t xml:space="preserve"> together</w:t>
      </w:r>
      <w:r w:rsidRPr="179FE4EB">
        <w:rPr>
          <w:rFonts w:ascii="Source Sans Pro" w:eastAsia="Source Sans Pro" w:hAnsi="Source Sans Pro" w:cs="Source Sans Pro"/>
          <w:sz w:val="24"/>
          <w:szCs w:val="24"/>
          <w:lang w:val="en-GB"/>
        </w:rPr>
        <w:t>:</w:t>
      </w:r>
    </w:p>
    <w:p w14:paraId="3179A7B7" w14:textId="5BBA769E"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To God – through prayer, scripture, and worship.</w:t>
      </w:r>
    </w:p>
    <w:p w14:paraId="2323EDA6" w14:textId="205913C0"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To your community – what are the needs, hopes, and challenges?</w:t>
      </w:r>
    </w:p>
    <w:p w14:paraId="3460CECD" w14:textId="7A469DE2"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To your congregation – what gifts and passions are present?</w:t>
      </w:r>
    </w:p>
    <w:p w14:paraId="00EA4B9E" w14:textId="0DECDB2A" w:rsidR="00D314FE" w:rsidRPr="00662414" w:rsidRDefault="00B30862"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 xml:space="preserve">Keep the Three Bold Outcomes in mind as they’re </w:t>
      </w:r>
      <w:r w:rsidR="00B268CB" w:rsidRPr="179FE4EB">
        <w:rPr>
          <w:rFonts w:ascii="Source Sans Pro" w:eastAsia="Source Sans Pro" w:hAnsi="Source Sans Pro" w:cs="Source Sans Pro"/>
          <w:sz w:val="24"/>
          <w:szCs w:val="24"/>
          <w:lang w:val="en-GB"/>
        </w:rPr>
        <w:t xml:space="preserve">to help us all grow as a Church. </w:t>
      </w:r>
      <w:r w:rsidR="0027157B" w:rsidRPr="179FE4EB">
        <w:rPr>
          <w:rFonts w:ascii="Source Sans Pro" w:eastAsia="Source Sans Pro" w:hAnsi="Source Sans Pro" w:cs="Source Sans Pro"/>
          <w:sz w:val="24"/>
          <w:szCs w:val="24"/>
          <w:lang w:val="en-GB"/>
        </w:rPr>
        <w:t xml:space="preserve">Use tools like the </w:t>
      </w:r>
      <w:r w:rsidR="00D976A6">
        <w:rPr>
          <w:rFonts w:ascii="Source Sans Pro" w:eastAsia="Source Sans Pro" w:hAnsi="Source Sans Pro" w:cs="Source Sans Pro"/>
          <w:sz w:val="24"/>
          <w:szCs w:val="24"/>
          <w:lang w:val="en-GB"/>
        </w:rPr>
        <w:t xml:space="preserve">MAP </w:t>
      </w:r>
      <w:hyperlink r:id="rId10" w:history="1">
        <w:r w:rsidR="00653F30" w:rsidRPr="00D976A6">
          <w:rPr>
            <w:rStyle w:val="Hyperlink"/>
            <w:rFonts w:ascii="Source Sans Pro" w:eastAsia="Source Sans Pro" w:hAnsi="Source Sans Pro" w:cs="Source Sans Pro"/>
            <w:sz w:val="24"/>
            <w:szCs w:val="24"/>
            <w:lang w:val="en-GB"/>
          </w:rPr>
          <w:t xml:space="preserve">Reimagining Mission </w:t>
        </w:r>
        <w:r w:rsidR="0027157B" w:rsidRPr="00D976A6">
          <w:rPr>
            <w:rStyle w:val="Hyperlink"/>
            <w:rFonts w:ascii="Source Sans Pro" w:eastAsia="Source Sans Pro" w:hAnsi="Source Sans Pro" w:cs="Source Sans Pro"/>
            <w:sz w:val="24"/>
            <w:szCs w:val="24"/>
            <w:lang w:val="en-GB"/>
          </w:rPr>
          <w:t>Guide</w:t>
        </w:r>
      </w:hyperlink>
      <w:r w:rsidR="0027157B" w:rsidRPr="179FE4EB">
        <w:rPr>
          <w:rFonts w:ascii="Source Sans Pro" w:eastAsia="Source Sans Pro" w:hAnsi="Source Sans Pro" w:cs="Source Sans Pro"/>
          <w:sz w:val="24"/>
          <w:szCs w:val="24"/>
          <w:lang w:val="en-GB"/>
        </w:rPr>
        <w:t xml:space="preserve"> to help widen your perspective.</w:t>
      </w:r>
      <w:r w:rsidR="00662414" w:rsidRPr="179FE4EB">
        <w:rPr>
          <w:rFonts w:ascii="Source Sans Pro" w:eastAsia="Source Sans Pro" w:hAnsi="Source Sans Pro" w:cs="Source Sans Pro"/>
          <w:sz w:val="24"/>
          <w:szCs w:val="24"/>
          <w:lang w:val="en-GB"/>
        </w:rPr>
        <w:t xml:space="preserve"> Look at the </w:t>
      </w:r>
      <w:hyperlink r:id="rId11" w:history="1">
        <w:r w:rsidR="00662414" w:rsidRPr="00A42BE3">
          <w:rPr>
            <w:rStyle w:val="Hyperlink"/>
            <w:rFonts w:ascii="Source Sans Pro" w:eastAsia="Source Sans Pro" w:hAnsi="Source Sans Pro" w:cs="Source Sans Pro"/>
            <w:sz w:val="24"/>
            <w:szCs w:val="24"/>
            <w:lang w:val="en-GB"/>
          </w:rPr>
          <w:t>Toolkit</w:t>
        </w:r>
      </w:hyperlink>
      <w:r w:rsidR="00662414" w:rsidRPr="179FE4EB">
        <w:rPr>
          <w:rFonts w:ascii="Source Sans Pro" w:eastAsia="Source Sans Pro" w:hAnsi="Source Sans Pro" w:cs="Source Sans Pro"/>
          <w:sz w:val="24"/>
          <w:szCs w:val="24"/>
          <w:lang w:val="en-GB"/>
        </w:rPr>
        <w:t xml:space="preserve"> to see if there are already some resources available in the areas you want to work in. (If there aren’t the tools you need, that’s something your MAP could highlight.)</w:t>
      </w:r>
      <w:r w:rsidR="0027157B" w:rsidRPr="179FE4EB">
        <w:rPr>
          <w:rFonts w:ascii="Source Sans Pro" w:eastAsia="Source Sans Pro" w:hAnsi="Source Sans Pro" w:cs="Source Sans Pro"/>
          <w:sz w:val="24"/>
          <w:szCs w:val="24"/>
          <w:lang w:val="en-GB"/>
        </w:rPr>
        <w:t xml:space="preserve"> You might also explore parish data (e.g. census, deprivation, attendance) to understand your local context more deeply.</w:t>
      </w:r>
    </w:p>
    <w:p w14:paraId="3763A844" w14:textId="77777777" w:rsidR="00D314FE" w:rsidRPr="00662414" w:rsidRDefault="0027157B" w:rsidP="179FE4EB">
      <w:pPr>
        <w:pStyle w:val="Heading2"/>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2. Choose Three Things</w:t>
      </w:r>
    </w:p>
    <w:p w14:paraId="053B1791" w14:textId="34F39CC8" w:rsidR="00D314FE" w:rsidRPr="00662414" w:rsidRDefault="0027157B"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 xml:space="preserve">Once you've listened well, gather your leadership team </w:t>
      </w:r>
      <w:r w:rsidR="00662414" w:rsidRPr="179FE4EB">
        <w:rPr>
          <w:rFonts w:ascii="Source Sans Pro" w:eastAsia="Source Sans Pro" w:hAnsi="Source Sans Pro" w:cs="Source Sans Pro"/>
          <w:sz w:val="24"/>
          <w:szCs w:val="24"/>
          <w:lang w:val="en-GB"/>
        </w:rPr>
        <w:t>and</w:t>
      </w:r>
      <w:r w:rsidRPr="179FE4EB">
        <w:rPr>
          <w:rFonts w:ascii="Source Sans Pro" w:eastAsia="Source Sans Pro" w:hAnsi="Source Sans Pro" w:cs="Source Sans Pro"/>
          <w:sz w:val="24"/>
          <w:szCs w:val="24"/>
          <w:lang w:val="en-GB"/>
        </w:rPr>
        <w:t xml:space="preserve"> PCC and ask:</w:t>
      </w:r>
    </w:p>
    <w:p w14:paraId="4703D2F8" w14:textId="2AFE4EEA"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What is God calling us to focus on now?</w:t>
      </w:r>
    </w:p>
    <w:p w14:paraId="78C13DE5" w14:textId="4A1167D5"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What would make a real difference in our parish?</w:t>
      </w:r>
    </w:p>
    <w:p w14:paraId="2870772C" w14:textId="57A909CB"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What can we realistically commit to over the next 12–18 months?</w:t>
      </w:r>
    </w:p>
    <w:p w14:paraId="7D98ABEC" w14:textId="77777777" w:rsidR="00D314FE" w:rsidRPr="00662414" w:rsidRDefault="0027157B"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Your “Three Things” might include:</w:t>
      </w:r>
    </w:p>
    <w:p w14:paraId="65086DE0" w14:textId="76E1DF73"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A new way of connecting with families</w:t>
      </w:r>
    </w:p>
    <w:p w14:paraId="0F6C0F02" w14:textId="6C583003"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A commitment to deepen prayer life</w:t>
      </w:r>
    </w:p>
    <w:p w14:paraId="3F887108" w14:textId="6B3BE019"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A partnership with a local school or charity</w:t>
      </w:r>
    </w:p>
    <w:p w14:paraId="7065074F" w14:textId="077AA3EE" w:rsidR="00D314FE" w:rsidRPr="00662414" w:rsidRDefault="0027157B"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Keep it simple. These are not your only activities—they’re your intentional priorities.</w:t>
      </w:r>
      <w:r w:rsidR="008B60CF" w:rsidRPr="179FE4EB">
        <w:rPr>
          <w:rFonts w:ascii="Source Sans Pro" w:eastAsia="Source Sans Pro" w:hAnsi="Source Sans Pro" w:cs="Source Sans Pro"/>
          <w:sz w:val="24"/>
          <w:szCs w:val="24"/>
          <w:lang w:val="en-GB"/>
        </w:rPr>
        <w:t xml:space="preserve"> But make sure your </w:t>
      </w:r>
      <w:r w:rsidR="00926F3B" w:rsidRPr="179FE4EB">
        <w:rPr>
          <w:rFonts w:ascii="Source Sans Pro" w:eastAsia="Source Sans Pro" w:hAnsi="Source Sans Pro" w:cs="Source Sans Pro"/>
          <w:sz w:val="24"/>
          <w:szCs w:val="24"/>
          <w:lang w:val="en-GB"/>
        </w:rPr>
        <w:t xml:space="preserve">“Three Things” </w:t>
      </w:r>
      <w:r w:rsidR="00373D65" w:rsidRPr="179FE4EB">
        <w:rPr>
          <w:rFonts w:ascii="Source Sans Pro" w:eastAsia="Source Sans Pro" w:hAnsi="Source Sans Pro" w:cs="Source Sans Pro"/>
          <w:sz w:val="24"/>
          <w:szCs w:val="24"/>
          <w:lang w:val="en-GB"/>
        </w:rPr>
        <w:t>are SMART</w:t>
      </w:r>
      <w:r w:rsidR="00832038" w:rsidRPr="179FE4EB">
        <w:rPr>
          <w:rFonts w:ascii="Source Sans Pro" w:eastAsia="Source Sans Pro" w:hAnsi="Source Sans Pro" w:cs="Source Sans Pro"/>
          <w:sz w:val="24"/>
          <w:szCs w:val="24"/>
          <w:lang w:val="en-GB"/>
        </w:rPr>
        <w:t>. There’s more on how this can help in the box below.</w:t>
      </w:r>
    </w:p>
    <w:p w14:paraId="6ED665DF" w14:textId="77777777" w:rsidR="00D314FE" w:rsidRPr="00662414" w:rsidRDefault="0027157B" w:rsidP="179FE4EB">
      <w:pPr>
        <w:pStyle w:val="Heading2"/>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3. Share and Act</w:t>
      </w:r>
    </w:p>
    <w:p w14:paraId="320F05BD" w14:textId="77777777" w:rsidR="00D314FE" w:rsidRPr="00662414" w:rsidRDefault="0027157B"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Write your Three Things down in a way that’s clear and encouraging. Share them:</w:t>
      </w:r>
    </w:p>
    <w:p w14:paraId="055BE287" w14:textId="4CC4554B"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With your congregation (in services, newsletters, noticeboards)</w:t>
      </w:r>
    </w:p>
    <w:p w14:paraId="310E17BB" w14:textId="2B476879" w:rsidR="00D314FE" w:rsidRPr="00662414"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With your deanery</w:t>
      </w:r>
    </w:p>
    <w:p w14:paraId="04B12DBD" w14:textId="6A50CD55" w:rsidR="00D314FE" w:rsidRDefault="0027157B" w:rsidP="179FE4EB">
      <w:pPr>
        <w:pStyle w:val="ListBullet"/>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With your wider community, where appropriate</w:t>
      </w:r>
    </w:p>
    <w:p w14:paraId="7641F68B" w14:textId="305F0361" w:rsidR="00AE3610" w:rsidRPr="00AE3610" w:rsidRDefault="00AE3610" w:rsidP="179FE4EB">
      <w:pPr>
        <w:pStyle w:val="ListBullet"/>
        <w:rPr>
          <w:rFonts w:ascii="Source Sans Pro" w:eastAsia="Source Sans Pro" w:hAnsi="Source Sans Pro" w:cs="Source Sans Pro"/>
          <w:sz w:val="24"/>
          <w:szCs w:val="24"/>
          <w:lang w:val="en-GB"/>
        </w:rPr>
      </w:pPr>
      <w:r w:rsidRPr="5F2ED326">
        <w:rPr>
          <w:rFonts w:ascii="Source Sans Pro" w:eastAsia="Source Sans Pro" w:hAnsi="Source Sans Pro" w:cs="Source Sans Pro"/>
          <w:sz w:val="24"/>
          <w:szCs w:val="24"/>
          <w:lang w:val="en-GB"/>
        </w:rPr>
        <w:t xml:space="preserve">With the diocese by </w:t>
      </w:r>
      <w:hyperlink r:id="rId12" w:history="1">
        <w:r w:rsidRPr="00465C52">
          <w:rPr>
            <w:rStyle w:val="Hyperlink"/>
            <w:rFonts w:ascii="Source Sans Pro" w:eastAsia="Source Sans Pro" w:hAnsi="Source Sans Pro" w:cs="Source Sans Pro"/>
            <w:sz w:val="24"/>
            <w:szCs w:val="24"/>
            <w:lang w:val="en-GB"/>
          </w:rPr>
          <w:t>submitting your MAP here</w:t>
        </w:r>
      </w:hyperlink>
      <w:r w:rsidRPr="5F2ED326">
        <w:rPr>
          <w:rFonts w:ascii="Source Sans Pro" w:eastAsia="Source Sans Pro" w:hAnsi="Source Sans Pro" w:cs="Source Sans Pro"/>
          <w:sz w:val="24"/>
          <w:szCs w:val="24"/>
          <w:lang w:val="en-GB"/>
        </w:rPr>
        <w:t xml:space="preserve"> or emailing it </w:t>
      </w:r>
      <w:r w:rsidR="0027157B" w:rsidRPr="5F2ED326">
        <w:rPr>
          <w:rFonts w:ascii="Source Sans Pro" w:eastAsia="Source Sans Pro" w:hAnsi="Source Sans Pro" w:cs="Source Sans Pro"/>
          <w:sz w:val="24"/>
          <w:szCs w:val="24"/>
          <w:lang w:val="en-GB"/>
        </w:rPr>
        <w:t>to threethings@diocant.org</w:t>
      </w:r>
    </w:p>
    <w:p w14:paraId="7FF76043" w14:textId="77777777" w:rsidR="00E07F0F" w:rsidRDefault="00E17812" w:rsidP="007410E5">
      <w:pPr>
        <w:rPr>
          <w:rFonts w:ascii="Source Sans Pro" w:eastAsia="Source Sans Pro" w:hAnsi="Source Sans Pro" w:cs="Source Sans Pro"/>
          <w:sz w:val="24"/>
          <w:szCs w:val="24"/>
          <w:lang w:val="en-GB"/>
        </w:rPr>
      </w:pPr>
      <w:r>
        <w:rPr>
          <w:noProof/>
        </w:rPr>
        <w:lastRenderedPageBreak/>
        <mc:AlternateContent>
          <mc:Choice Requires="wps">
            <w:drawing>
              <wp:anchor distT="0" distB="0" distL="114300" distR="114300" simplePos="0" relativeHeight="251658242" behindDoc="1" locked="0" layoutInCell="1" allowOverlap="1" wp14:anchorId="45355682" wp14:editId="7E12D7D8">
                <wp:simplePos x="0" y="0"/>
                <wp:positionH relativeFrom="column">
                  <wp:posOffset>0</wp:posOffset>
                </wp:positionH>
                <wp:positionV relativeFrom="paragraph">
                  <wp:posOffset>641985</wp:posOffset>
                </wp:positionV>
                <wp:extent cx="6247765" cy="3867150"/>
                <wp:effectExtent l="0" t="0" r="19685" b="19050"/>
                <wp:wrapSquare wrapText="bothSides"/>
                <wp:docPr id="1815587033" name="Text Box 2">
                  <a:extLst xmlns:a="http://schemas.openxmlformats.org/drawingml/2006/main">
                    <a:ext uri="{FF2B5EF4-FFF2-40B4-BE49-F238E27FC236}">
                      <a16:creationId xmlns:a16="http://schemas.microsoft.com/office/drawing/2014/main" id="{F86CA8BC-BCD6-4004-935E-D6EF91F48F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3867150"/>
                        </a:xfrm>
                        <a:prstGeom prst="rect">
                          <a:avLst/>
                        </a:prstGeom>
                        <a:solidFill>
                          <a:srgbClr val="FFFFFF"/>
                        </a:solidFill>
                        <a:ln w="9525">
                          <a:solidFill>
                            <a:srgbClr val="000000"/>
                          </a:solidFill>
                          <a:miter lim="800000"/>
                          <a:headEnd/>
                          <a:tailEnd/>
                        </a:ln>
                      </wps:spPr>
                      <wps:txbx>
                        <w:txbxContent>
                          <w:p w14:paraId="61EE6F5C" w14:textId="77777777" w:rsidR="009F5162" w:rsidRPr="00DE3A0A" w:rsidRDefault="009F5162" w:rsidP="0031429A">
                            <w:pPr>
                              <w:rPr>
                                <w:rFonts w:ascii="Aptos" w:hAnsi="Aptos"/>
                                <w:b/>
                                <w:bCs/>
                              </w:rPr>
                            </w:pPr>
                            <w:r w:rsidRPr="00DE3A0A">
                              <w:rPr>
                                <w:rFonts w:ascii="Aptos" w:hAnsi="Aptos"/>
                                <w:b/>
                                <w:bCs/>
                              </w:rPr>
                              <w:t>SMART planning</w:t>
                            </w:r>
                          </w:p>
                          <w:p w14:paraId="133300C1" w14:textId="77777777" w:rsidR="009F5162" w:rsidRPr="00DE3A0A" w:rsidRDefault="009F5162" w:rsidP="0031429A">
                            <w:pPr>
                              <w:rPr>
                                <w:rFonts w:ascii="Aptos" w:hAnsi="Aptos"/>
                              </w:rPr>
                            </w:pPr>
                            <w:r w:rsidRPr="00DE3A0A">
                              <w:rPr>
                                <w:rFonts w:ascii="Aptos" w:hAnsi="Aptos"/>
                              </w:rPr>
                              <w:t>When we act it helps if our actions and goals are SMART.  This helps us do what we intend.  It also helps us honour those we are working with, by doing what we say we will, and doing it well.</w:t>
                            </w:r>
                          </w:p>
                          <w:p w14:paraId="26B0A7E8"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Specific</w:t>
                            </w:r>
                            <w:r w:rsidRPr="00DE3A0A">
                              <w:rPr>
                                <w:rFonts w:ascii="Aptos" w:hAnsi="Aptos"/>
                              </w:rPr>
                              <w:t xml:space="preserve"> – actions should have a desired outcome that is clearly understood. </w:t>
                            </w:r>
                          </w:p>
                          <w:p w14:paraId="6226472C"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Measurable</w:t>
                            </w:r>
                            <w:r w:rsidRPr="00DE3A0A">
                              <w:rPr>
                                <w:rFonts w:ascii="Aptos" w:hAnsi="Aptos"/>
                              </w:rPr>
                              <w:t xml:space="preserve"> – they should be quantifiable so that we can track progress.  Decide how to measure the goal and how to collect that information.</w:t>
                            </w:r>
                          </w:p>
                          <w:p w14:paraId="71853F4B"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 xml:space="preserve">Achievable and Accountable </w:t>
                            </w:r>
                            <w:r w:rsidRPr="00DE3A0A">
                              <w:rPr>
                                <w:rFonts w:ascii="Aptos" w:hAnsi="Aptos"/>
                              </w:rPr>
                              <w:t>– goals should be realistic, so we have a sense of progress. Challenging goals are good, but it is helpful to break them down into smaller, bite-sized chunks and claim some easy wins.   Here we should name a person who is authorised to lead on the action and who they are accountable to (e.g., N is authorised to do this by the PCC, to whom she will report back in January and July).</w:t>
                            </w:r>
                          </w:p>
                          <w:p w14:paraId="1FDA180F"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Relevant and resourced</w:t>
                            </w:r>
                            <w:r w:rsidRPr="00DE3A0A">
                              <w:rPr>
                                <w:rFonts w:ascii="Aptos" w:hAnsi="Aptos"/>
                              </w:rPr>
                              <w:t xml:space="preserve"> – goals should be properly discerned.  In this way they will be expressions of the church’s mission vision, and aligned with the Three Bold Outcomes, rather than just ‘good ideas’.</w:t>
                            </w:r>
                          </w:p>
                          <w:p w14:paraId="0CD9BC03"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Time-Bound</w:t>
                            </w:r>
                            <w:r w:rsidRPr="00DE3A0A">
                              <w:rPr>
                                <w:rFonts w:ascii="Aptos" w:hAnsi="Aptos"/>
                              </w:rPr>
                              <w:t xml:space="preserve"> – goals should have a deadline to help us measure our success and discover what move to make next.  </w:t>
                            </w:r>
                          </w:p>
                          <w:p w14:paraId="180E7A49" w14:textId="77777777" w:rsidR="009F5162" w:rsidRPr="0031429A" w:rsidRDefault="009F5162" w:rsidP="0031429A"/>
                        </w:txbxContent>
                      </wps:txbx>
                      <wps:bodyPr rot="0" vert="horz" wrap="square" lIns="91440" tIns="45720" rIns="91440" bIns="45720" anchor="t" anchorCtr="0">
                        <a:noAutofit/>
                      </wps:bodyPr>
                    </wps:wsp>
                  </a:graphicData>
                </a:graphic>
              </wp:anchor>
            </w:drawing>
          </mc:Choice>
          <mc:Fallback>
            <w:pict>
              <v:shapetype w14:anchorId="45355682" id="_x0000_t202" coordsize="21600,21600" o:spt="202" path="m,l,21600r21600,l21600,xe">
                <v:stroke joinstyle="miter"/>
                <v:path gradientshapeok="t" o:connecttype="rect"/>
              </v:shapetype>
              <v:shape id="Text Box 2" o:spid="_x0000_s1026" type="#_x0000_t202" style="position:absolute;margin-left:0;margin-top:50.55pt;width:491.95pt;height:304.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">
                <v:textbox>
                  <w:txbxContent>
                    <w:p w14:paraId="61EE6F5C" w14:textId="77777777" w:rsidR="009F5162" w:rsidRPr="00DE3A0A" w:rsidRDefault="009F5162" w:rsidP="0031429A">
                      <w:pPr>
                        <w:rPr>
                          <w:rFonts w:ascii="Aptos" w:hAnsi="Aptos"/>
                          <w:b/>
                          <w:bCs/>
                        </w:rPr>
                      </w:pPr>
                      <w:r w:rsidRPr="00DE3A0A">
                        <w:rPr>
                          <w:rFonts w:ascii="Aptos" w:hAnsi="Aptos"/>
                          <w:b/>
                          <w:bCs/>
                        </w:rPr>
                        <w:t>SMART planning</w:t>
                      </w:r>
                    </w:p>
                    <w:p w14:paraId="133300C1" w14:textId="77777777" w:rsidR="009F5162" w:rsidRPr="00DE3A0A" w:rsidRDefault="009F5162" w:rsidP="0031429A">
                      <w:pPr>
                        <w:rPr>
                          <w:rFonts w:ascii="Aptos" w:hAnsi="Aptos"/>
                        </w:rPr>
                      </w:pPr>
                      <w:r w:rsidRPr="00DE3A0A">
                        <w:rPr>
                          <w:rFonts w:ascii="Aptos" w:hAnsi="Aptos"/>
                        </w:rPr>
                        <w:t>When we act it helps if our actions and goals are SMART.  This helps us do what we intend.  It also helps us honour those we are working with, by doing what we say we will, and doing it well.</w:t>
                      </w:r>
                    </w:p>
                    <w:p w14:paraId="26B0A7E8"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Specific</w:t>
                      </w:r>
                      <w:r w:rsidRPr="00DE3A0A">
                        <w:rPr>
                          <w:rFonts w:ascii="Aptos" w:hAnsi="Aptos"/>
                        </w:rPr>
                        <w:t xml:space="preserve"> – actions should have a desired outcome that is clearly understood. </w:t>
                      </w:r>
                    </w:p>
                    <w:p w14:paraId="6226472C"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Measurable</w:t>
                      </w:r>
                      <w:r w:rsidRPr="00DE3A0A">
                        <w:rPr>
                          <w:rFonts w:ascii="Aptos" w:hAnsi="Aptos"/>
                        </w:rPr>
                        <w:t xml:space="preserve"> – they should be quantifiable so that we can track progress.  Decide how to measure the goal and how to collect that information.</w:t>
                      </w:r>
                    </w:p>
                    <w:p w14:paraId="71853F4B"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 xml:space="preserve">Achievable and Accountable </w:t>
                      </w:r>
                      <w:r w:rsidRPr="00DE3A0A">
                        <w:rPr>
                          <w:rFonts w:ascii="Aptos" w:hAnsi="Aptos"/>
                        </w:rPr>
                        <w:t>– goals should be realistic, so we have a sense of progress. Challenging goals are good, but it is helpful to break them down into smaller, bite-sized chunks and claim some easy wins.   Here we should name a person who is authorised to lead on the action and who they are accountable to (e.g., N is authorised to do this by the PCC, to whom she will report back in January and July).</w:t>
                      </w:r>
                    </w:p>
                    <w:p w14:paraId="1FDA180F"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Relevant and resourced</w:t>
                      </w:r>
                      <w:r w:rsidRPr="00DE3A0A">
                        <w:rPr>
                          <w:rFonts w:ascii="Aptos" w:hAnsi="Aptos"/>
                        </w:rPr>
                        <w:t xml:space="preserve"> – goals should be properly discerned.  In this way they will be expressions of the church’s mission vision, and aligned with the Three Bold Outcomes, rather than just ‘good ideas’.</w:t>
                      </w:r>
                    </w:p>
                    <w:p w14:paraId="0CD9BC03" w14:textId="77777777" w:rsidR="009F5162" w:rsidRPr="00DE3A0A" w:rsidRDefault="009F5162" w:rsidP="0031429A">
                      <w:pPr>
                        <w:numPr>
                          <w:ilvl w:val="0"/>
                          <w:numId w:val="6"/>
                        </w:numPr>
                        <w:spacing w:line="259" w:lineRule="auto"/>
                        <w:rPr>
                          <w:rFonts w:ascii="Aptos" w:hAnsi="Aptos"/>
                        </w:rPr>
                      </w:pPr>
                      <w:r w:rsidRPr="00DE3A0A">
                        <w:rPr>
                          <w:rFonts w:ascii="Aptos" w:hAnsi="Aptos"/>
                          <w:b/>
                          <w:bCs/>
                        </w:rPr>
                        <w:t>Time-Bound</w:t>
                      </w:r>
                      <w:r w:rsidRPr="00DE3A0A">
                        <w:rPr>
                          <w:rFonts w:ascii="Aptos" w:hAnsi="Aptos"/>
                        </w:rPr>
                        <w:t xml:space="preserve"> – goals should have a deadline to help us measure our success and discover what move to make next.  </w:t>
                      </w:r>
                    </w:p>
                    <w:p w14:paraId="180E7A49" w14:textId="77777777" w:rsidR="009F5162" w:rsidRPr="0031429A" w:rsidRDefault="009F5162" w:rsidP="0031429A"/>
                  </w:txbxContent>
                </v:textbox>
                <w10:wrap type="square"/>
              </v:shape>
            </w:pict>
          </mc:Fallback>
        </mc:AlternateContent>
      </w:r>
      <w:r w:rsidR="0027157B" w:rsidRPr="179FE4EB">
        <w:rPr>
          <w:rFonts w:ascii="Source Sans Pro" w:eastAsia="Source Sans Pro" w:hAnsi="Source Sans Pro" w:cs="Source Sans Pro"/>
          <w:sz w:val="24"/>
          <w:szCs w:val="24"/>
          <w:lang w:val="en-GB"/>
        </w:rPr>
        <w:t>Then begin. Celebrate small steps. Review progress regularly. Pray together. Adjust if needed. The goal is not perfection—it’s faithful movement forward.</w:t>
      </w:r>
    </w:p>
    <w:p w14:paraId="1636C95A" w14:textId="77777777" w:rsidR="00E07F0F" w:rsidRDefault="00E07F0F" w:rsidP="007410E5">
      <w:pPr>
        <w:rPr>
          <w:rFonts w:ascii="Source Sans Pro" w:eastAsia="Source Sans Pro" w:hAnsi="Source Sans Pro" w:cs="Source Sans Pro"/>
          <w:sz w:val="24"/>
          <w:szCs w:val="24"/>
          <w:lang w:val="en-GB"/>
        </w:rPr>
      </w:pPr>
    </w:p>
    <w:p w14:paraId="335C6057" w14:textId="5034D75C" w:rsidR="002E38D2" w:rsidRPr="00241928" w:rsidRDefault="002E38D2" w:rsidP="007410E5">
      <w:pPr>
        <w:rPr>
          <w:rFonts w:ascii="Source Sans Pro" w:eastAsia="Source Sans Pro" w:hAnsi="Source Sans Pro" w:cs="Source Sans Pro"/>
          <w:b/>
          <w:bCs/>
          <w:color w:val="4F81BD" w:themeColor="accent1"/>
          <w:sz w:val="24"/>
          <w:szCs w:val="24"/>
          <w:lang w:val="en-GB"/>
        </w:rPr>
      </w:pPr>
      <w:r w:rsidRPr="00241928">
        <w:rPr>
          <w:rFonts w:ascii="Source Sans Pro" w:eastAsia="Source Sans Pro" w:hAnsi="Source Sans Pro" w:cs="Source Sans Pro"/>
          <w:b/>
          <w:bCs/>
          <w:color w:val="4F81BD" w:themeColor="accent1"/>
          <w:sz w:val="24"/>
          <w:szCs w:val="24"/>
          <w:lang w:val="en-GB"/>
        </w:rPr>
        <w:t>4. Review how you’re doing</w:t>
      </w:r>
      <w:r w:rsidR="007410E5" w:rsidRPr="00241928">
        <w:rPr>
          <w:rFonts w:ascii="Source Sans Pro" w:eastAsia="Source Sans Pro" w:hAnsi="Source Sans Pro" w:cs="Source Sans Pro"/>
          <w:b/>
          <w:bCs/>
          <w:color w:val="4F81BD" w:themeColor="accent1"/>
          <w:sz w:val="24"/>
          <w:szCs w:val="24"/>
          <w:lang w:val="en-GB"/>
        </w:rPr>
        <w:t>.</w:t>
      </w:r>
    </w:p>
    <w:p w14:paraId="79E8B2E2" w14:textId="1BBFC582" w:rsidR="002E38D2" w:rsidRDefault="002E38D2"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Regularly look at how your “Three Things” are doing</w:t>
      </w:r>
      <w:r w:rsidR="00D361D2" w:rsidRPr="179FE4EB">
        <w:rPr>
          <w:rFonts w:ascii="Source Sans Pro" w:eastAsia="Source Sans Pro" w:hAnsi="Source Sans Pro" w:cs="Source Sans Pro"/>
          <w:sz w:val="24"/>
          <w:szCs w:val="24"/>
          <w:lang w:val="en-GB"/>
        </w:rPr>
        <w:t>. Celebrate what’s going well. If something’s not working</w:t>
      </w:r>
      <w:r w:rsidR="009F05B8" w:rsidRPr="179FE4EB">
        <w:rPr>
          <w:rFonts w:ascii="Source Sans Pro" w:eastAsia="Source Sans Pro" w:hAnsi="Source Sans Pro" w:cs="Source Sans Pro"/>
          <w:sz w:val="24"/>
          <w:szCs w:val="24"/>
          <w:lang w:val="en-GB"/>
        </w:rPr>
        <w:t>, pray and look at what you’re being told – is this the right thing or are you going about it in the right way.</w:t>
      </w:r>
      <w:r w:rsidR="00526F35" w:rsidRPr="179FE4EB">
        <w:rPr>
          <w:rFonts w:ascii="Source Sans Pro" w:eastAsia="Source Sans Pro" w:hAnsi="Source Sans Pro" w:cs="Source Sans Pro"/>
          <w:sz w:val="24"/>
          <w:szCs w:val="24"/>
          <w:lang w:val="en-GB"/>
        </w:rPr>
        <w:t xml:space="preserve"> It might mean tweaking something or looking to do something else</w:t>
      </w:r>
      <w:r w:rsidR="00A70F42" w:rsidRPr="179FE4EB">
        <w:rPr>
          <w:rFonts w:ascii="Source Sans Pro" w:eastAsia="Source Sans Pro" w:hAnsi="Source Sans Pro" w:cs="Source Sans Pro"/>
          <w:sz w:val="24"/>
          <w:szCs w:val="24"/>
          <w:lang w:val="en-GB"/>
        </w:rPr>
        <w:t xml:space="preserve">. If something has been completed, look for what the next “Thing” is going to be. </w:t>
      </w:r>
    </w:p>
    <w:p w14:paraId="5EC53634" w14:textId="3323B261" w:rsidR="00A70F42" w:rsidRPr="00662414" w:rsidRDefault="00BE419C" w:rsidP="179FE4EB">
      <w:pPr>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Review all your “Three Things” every year – Mission Action Planning is a continuous process</w:t>
      </w:r>
      <w:r w:rsidR="00D20B46" w:rsidRPr="179FE4EB">
        <w:rPr>
          <w:rFonts w:ascii="Source Sans Pro" w:eastAsia="Source Sans Pro" w:hAnsi="Source Sans Pro" w:cs="Source Sans Pro"/>
          <w:sz w:val="24"/>
          <w:szCs w:val="24"/>
          <w:lang w:val="en-GB"/>
        </w:rPr>
        <w:t xml:space="preserve"> and if we’re all working together to discern where God is working with us</w:t>
      </w:r>
      <w:r w:rsidR="00572ADE" w:rsidRPr="179FE4EB">
        <w:rPr>
          <w:rFonts w:ascii="Source Sans Pro" w:eastAsia="Source Sans Pro" w:hAnsi="Source Sans Pro" w:cs="Source Sans Pro"/>
          <w:sz w:val="24"/>
          <w:szCs w:val="24"/>
          <w:lang w:val="en-GB"/>
        </w:rPr>
        <w:t xml:space="preserve">, we’ll move together towards the </w:t>
      </w:r>
      <w:r w:rsidR="00B268CB" w:rsidRPr="179FE4EB">
        <w:rPr>
          <w:rFonts w:ascii="Source Sans Pro" w:eastAsia="Source Sans Pro" w:hAnsi="Source Sans Pro" w:cs="Source Sans Pro"/>
          <w:sz w:val="24"/>
          <w:szCs w:val="24"/>
          <w:lang w:val="en-GB"/>
        </w:rPr>
        <w:t>Church God calls us to be.</w:t>
      </w:r>
      <w:r w:rsidR="00B05D7F" w:rsidRPr="179FE4EB">
        <w:rPr>
          <w:rFonts w:ascii="Source Sans Pro" w:eastAsia="Source Sans Pro" w:hAnsi="Source Sans Pro" w:cs="Source Sans Pro"/>
          <w:sz w:val="24"/>
          <w:szCs w:val="24"/>
          <w:lang w:val="en-GB"/>
        </w:rPr>
        <w:t xml:space="preserve"> Don’t forget to share your new or revised “Three Things”</w:t>
      </w:r>
      <w:r w:rsidR="00DE3A0A" w:rsidRPr="179FE4EB">
        <w:rPr>
          <w:rFonts w:ascii="Source Sans Pro" w:eastAsia="Source Sans Pro" w:hAnsi="Source Sans Pro" w:cs="Source Sans Pro"/>
          <w:sz w:val="24"/>
          <w:szCs w:val="24"/>
          <w:lang w:val="en-GB"/>
        </w:rPr>
        <w:t>.</w:t>
      </w:r>
    </w:p>
    <w:p w14:paraId="213DE75D" w14:textId="297BE2E8" w:rsidR="00D314FE" w:rsidRPr="00662414" w:rsidRDefault="0027157B" w:rsidP="179FE4EB">
      <w:pPr>
        <w:pStyle w:val="Heading2"/>
        <w:rPr>
          <w:rFonts w:ascii="Source Sans Pro" w:eastAsia="Source Sans Pro" w:hAnsi="Source Sans Pro" w:cs="Source Sans Pro"/>
          <w:sz w:val="24"/>
          <w:szCs w:val="24"/>
          <w:lang w:val="en-GB"/>
        </w:rPr>
      </w:pPr>
      <w:r w:rsidRPr="179FE4EB">
        <w:rPr>
          <w:rFonts w:ascii="Source Sans Pro" w:eastAsia="Source Sans Pro" w:hAnsi="Source Sans Pro" w:cs="Source Sans Pro"/>
          <w:sz w:val="24"/>
          <w:szCs w:val="24"/>
          <w:lang w:val="en-GB"/>
        </w:rPr>
        <w:t>Encouragement for the Journey</w:t>
      </w:r>
    </w:p>
    <w:p w14:paraId="65EB0075" w14:textId="1FE24ED6" w:rsidR="00D314FE" w:rsidRDefault="0027157B" w:rsidP="5F2ED326">
      <w:pPr>
        <w:rPr>
          <w:rFonts w:ascii="Source Sans Pro" w:eastAsia="Source Sans Pro" w:hAnsi="Source Sans Pro" w:cs="Source Sans Pro"/>
          <w:sz w:val="24"/>
          <w:szCs w:val="24"/>
          <w:lang w:val="en-GB"/>
        </w:rPr>
      </w:pPr>
      <w:r w:rsidRPr="5F2ED326">
        <w:rPr>
          <w:rFonts w:ascii="Source Sans Pro" w:eastAsia="Source Sans Pro" w:hAnsi="Source Sans Pro" w:cs="Source Sans Pro"/>
          <w:sz w:val="24"/>
          <w:szCs w:val="24"/>
          <w:lang w:val="en-GB"/>
        </w:rPr>
        <w:t>Every parish is different. Your Three Things will reflect your story, your people, and your place. This is not a competition—it’s a shared journey of hope.</w:t>
      </w:r>
    </w:p>
    <w:p w14:paraId="05BDEDC6" w14:textId="47F71E84" w:rsidR="006438AB" w:rsidRPr="00732BF9" w:rsidRDefault="002651AD" w:rsidP="179FE4EB">
      <w:pPr>
        <w:rPr>
          <w:rFonts w:ascii="Source Sans Pro" w:eastAsia="Source Sans Pro" w:hAnsi="Source Sans Pro" w:cs="Source Sans Pro"/>
          <w:sz w:val="24"/>
          <w:szCs w:val="24"/>
          <w:lang w:val="en-GB"/>
        </w:rPr>
      </w:pPr>
      <w:r>
        <w:rPr>
          <w:rFonts w:ascii="Source Sans Pro" w:eastAsia="Source Sans Pro" w:hAnsi="Source Sans Pro" w:cs="Source Sans Pro"/>
          <w:noProof/>
          <w:sz w:val="24"/>
          <w:szCs w:val="24"/>
          <w:lang w:val="en-GB"/>
        </w:rPr>
        <mc:AlternateContent>
          <mc:Choice Requires="wps">
            <w:drawing>
              <wp:anchor distT="0" distB="0" distL="114300" distR="114300" simplePos="0" relativeHeight="251658241" behindDoc="0" locked="0" layoutInCell="1" allowOverlap="1" wp14:anchorId="46EAA435" wp14:editId="338485EE">
                <wp:simplePos x="0" y="0"/>
                <wp:positionH relativeFrom="column">
                  <wp:posOffset>-104775</wp:posOffset>
                </wp:positionH>
                <wp:positionV relativeFrom="paragraph">
                  <wp:posOffset>603885</wp:posOffset>
                </wp:positionV>
                <wp:extent cx="2228850" cy="276225"/>
                <wp:effectExtent l="0" t="0" r="0" b="0"/>
                <wp:wrapNone/>
                <wp:docPr id="651622711" name="Text Box 2">
                  <a:extLst xmlns:a="http://schemas.openxmlformats.org/drawingml/2006/main">
                    <a:ext uri="{FF2B5EF4-FFF2-40B4-BE49-F238E27FC236}">
                      <a16:creationId xmlns:a16="http://schemas.microsoft.com/office/drawing/2014/main" id="{4B0F6DFC-25D9-4E5D-92B8-1E5B0D91276A}"/>
                    </a:ext>
                  </a:extLst>
                </wp:docPr>
                <wp:cNvGraphicFramePr/>
                <a:graphic xmlns:a="http://schemas.openxmlformats.org/drawingml/2006/main">
                  <a:graphicData uri="http://schemas.microsoft.com/office/word/2010/wordprocessingShape">
                    <wps:wsp>
                      <wps:cNvSpPr txBox="1"/>
                      <wps:spPr>
                        <a:xfrm>
                          <a:off x="0" y="0"/>
                          <a:ext cx="2228850" cy="276225"/>
                        </a:xfrm>
                        <a:prstGeom prst="rect">
                          <a:avLst/>
                        </a:prstGeom>
                        <a:noFill/>
                        <a:ln w="6350">
                          <a:noFill/>
                        </a:ln>
                      </wps:spPr>
                      <wps:txbx>
                        <w:txbxContent>
                          <w:p w14:paraId="77B8A8D9" w14:textId="7FBC4417" w:rsidR="002C4929" w:rsidRPr="00A97DE6" w:rsidRDefault="000F34AC">
                            <w:pPr>
                              <w:rPr>
                                <w:rFonts w:ascii="Source Sans Pro" w:hAnsi="Source Sans Pro"/>
                                <w:i/>
                                <w:iCs/>
                                <w:sz w:val="20"/>
                                <w:szCs w:val="20"/>
                              </w:rPr>
                            </w:pPr>
                            <w:r w:rsidRPr="00A97DE6">
                              <w:rPr>
                                <w:rFonts w:ascii="Source Sans Pro" w:hAnsi="Source Sans Pro"/>
                                <w:i/>
                                <w:iCs/>
                                <w:sz w:val="20"/>
                                <w:szCs w:val="20"/>
                              </w:rPr>
                              <w:t>12/09/2025 Diocese of Canterbury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AA435" id="_x0000_s1027" type="#_x0000_t202" style="position:absolute;margin-left:-8.25pt;margin-top:47.55pt;width:175.5pt;height:21.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" filled="f" stroked="f" strokeweight=".5pt">
                <v:textbox>
                  <w:txbxContent>
                    <w:p w14:paraId="77B8A8D9" w14:textId="7FBC4417" w:rsidR="002C4929" w:rsidRPr="00A97DE6" w:rsidRDefault="000F34AC">
                      <w:pPr>
                        <w:rPr>
                          <w:rFonts w:ascii="Source Sans Pro" w:hAnsi="Source Sans Pro"/>
                          <w:i/>
                          <w:iCs/>
                          <w:sz w:val="20"/>
                          <w:szCs w:val="20"/>
                        </w:rPr>
                      </w:pPr>
                      <w:r w:rsidRPr="00A97DE6">
                        <w:rPr>
                          <w:rFonts w:ascii="Source Sans Pro" w:hAnsi="Source Sans Pro"/>
                          <w:i/>
                          <w:iCs/>
                          <w:sz w:val="20"/>
                          <w:szCs w:val="20"/>
                        </w:rPr>
                        <w:t>12/09/2025 Diocese of Canterbury</w:t>
                      </w:r>
                    </w:p>
                  </w:txbxContent>
                </v:textbox>
              </v:shape>
            </w:pict>
          </mc:Fallback>
        </mc:AlternateContent>
      </w:r>
      <w:r w:rsidR="0027157B" w:rsidRPr="179FE4EB">
        <w:rPr>
          <w:rFonts w:ascii="Source Sans Pro" w:eastAsia="Source Sans Pro" w:hAnsi="Source Sans Pro" w:cs="Source Sans Pro"/>
          <w:sz w:val="24"/>
          <w:szCs w:val="24"/>
          <w:lang w:val="en-GB"/>
        </w:rPr>
        <w:t>“The one who calls you is faithful, and he will do it.” – 1 Thessalonians 5:24</w:t>
      </w:r>
      <w:r w:rsidR="0070332C">
        <w:rPr>
          <w:rFonts w:ascii="Source Sans Pro" w:eastAsia="Source Sans Pro" w:hAnsi="Source Sans Pro" w:cs="Source Sans Pro"/>
          <w:sz w:val="24"/>
          <w:szCs w:val="24"/>
          <w:lang w:val="en-GB"/>
        </w:rPr>
        <w:t xml:space="preserve">                                                 </w:t>
      </w:r>
      <w:r w:rsidR="006438AB" w:rsidRPr="179FE4EB">
        <w:rPr>
          <w:rFonts w:ascii="Source Sans Pro" w:eastAsia="Source Sans Pro" w:hAnsi="Source Sans Pro" w:cs="Source Sans Pro"/>
          <w:sz w:val="24"/>
          <w:szCs w:val="24"/>
        </w:rPr>
        <w:t>For help talk to your archdeacon</w:t>
      </w:r>
      <w:r w:rsidR="006A3D26" w:rsidRPr="179FE4EB">
        <w:rPr>
          <w:rFonts w:ascii="Source Sans Pro" w:eastAsia="Source Sans Pro" w:hAnsi="Source Sans Pro" w:cs="Source Sans Pro"/>
          <w:sz w:val="24"/>
          <w:szCs w:val="24"/>
        </w:rPr>
        <w:t xml:space="preserve"> or</w:t>
      </w:r>
      <w:r w:rsidR="006438AB" w:rsidRPr="179FE4EB">
        <w:rPr>
          <w:rFonts w:ascii="Source Sans Pro" w:eastAsia="Source Sans Pro" w:hAnsi="Source Sans Pro" w:cs="Source Sans Pro"/>
          <w:sz w:val="24"/>
          <w:szCs w:val="24"/>
        </w:rPr>
        <w:t xml:space="preserve"> email </w:t>
      </w:r>
      <w:r w:rsidR="006A3D26" w:rsidRPr="179FE4EB">
        <w:rPr>
          <w:rFonts w:ascii="Source Sans Pro" w:eastAsia="Source Sans Pro" w:hAnsi="Source Sans Pro" w:cs="Source Sans Pro"/>
          <w:sz w:val="24"/>
          <w:szCs w:val="24"/>
        </w:rPr>
        <w:t>threethings</w:t>
      </w:r>
      <w:r w:rsidR="006438AB" w:rsidRPr="179FE4EB">
        <w:rPr>
          <w:rFonts w:ascii="Source Sans Pro" w:eastAsia="Source Sans Pro" w:hAnsi="Source Sans Pro" w:cs="Source Sans Pro"/>
          <w:sz w:val="24"/>
          <w:szCs w:val="24"/>
        </w:rPr>
        <w:t>@diocant.org</w:t>
      </w:r>
      <w:r w:rsidR="006A3D26" w:rsidRPr="179FE4EB">
        <w:rPr>
          <w:rFonts w:ascii="Source Sans Pro" w:eastAsia="Source Sans Pro" w:hAnsi="Source Sans Pro" w:cs="Source Sans Pro"/>
          <w:sz w:val="24"/>
          <w:szCs w:val="24"/>
        </w:rPr>
        <w:t>.</w:t>
      </w:r>
    </w:p>
    <w:sectPr w:rsidR="006438AB" w:rsidRPr="00732BF9" w:rsidSect="00666A1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70E1DCC"/>
    <w:multiLevelType w:val="hybridMultilevel"/>
    <w:tmpl w:val="C55E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679994">
    <w:abstractNumId w:val="9"/>
  </w:num>
  <w:num w:numId="2" w16cid:durableId="1810972331">
    <w:abstractNumId w:val="0"/>
  </w:num>
  <w:num w:numId="3" w16cid:durableId="2089035531">
    <w:abstractNumId w:val="6"/>
  </w:num>
  <w:num w:numId="4" w16cid:durableId="221983203">
    <w:abstractNumId w:val="3"/>
  </w:num>
  <w:num w:numId="5" w16cid:durableId="341787556">
    <w:abstractNumId w:val="1"/>
  </w:num>
  <w:num w:numId="6" w16cid:durableId="347952685">
    <w:abstractNumId w:val="8"/>
  </w:num>
  <w:num w:numId="7" w16cid:durableId="40059464">
    <w:abstractNumId w:val="5"/>
  </w:num>
  <w:num w:numId="8" w16cid:durableId="465272765">
    <w:abstractNumId w:val="4"/>
  </w:num>
  <w:num w:numId="9" w16cid:durableId="732391998">
    <w:abstractNumId w:val="7"/>
  </w:num>
  <w:num w:numId="10" w16cid:durableId="876695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1695"/>
    <w:rsid w:val="0006063C"/>
    <w:rsid w:val="000F34AC"/>
    <w:rsid w:val="00106E0C"/>
    <w:rsid w:val="0011795E"/>
    <w:rsid w:val="0015074B"/>
    <w:rsid w:val="00185158"/>
    <w:rsid w:val="00191A51"/>
    <w:rsid w:val="00241928"/>
    <w:rsid w:val="002651AD"/>
    <w:rsid w:val="0027157B"/>
    <w:rsid w:val="0029639D"/>
    <w:rsid w:val="002C4929"/>
    <w:rsid w:val="002E38D2"/>
    <w:rsid w:val="002F39A7"/>
    <w:rsid w:val="0031027F"/>
    <w:rsid w:val="0031429A"/>
    <w:rsid w:val="00326F90"/>
    <w:rsid w:val="00373D65"/>
    <w:rsid w:val="003C6BB2"/>
    <w:rsid w:val="003E66A1"/>
    <w:rsid w:val="00465C52"/>
    <w:rsid w:val="00471833"/>
    <w:rsid w:val="004830F2"/>
    <w:rsid w:val="00492F33"/>
    <w:rsid w:val="00526F35"/>
    <w:rsid w:val="005327F3"/>
    <w:rsid w:val="00572ADE"/>
    <w:rsid w:val="006438AB"/>
    <w:rsid w:val="00653F30"/>
    <w:rsid w:val="006600D9"/>
    <w:rsid w:val="00662414"/>
    <w:rsid w:val="00666A15"/>
    <w:rsid w:val="00677BD0"/>
    <w:rsid w:val="006A3D26"/>
    <w:rsid w:val="0070332C"/>
    <w:rsid w:val="00732BF9"/>
    <w:rsid w:val="007410E5"/>
    <w:rsid w:val="007764D7"/>
    <w:rsid w:val="007F5BA7"/>
    <w:rsid w:val="00832038"/>
    <w:rsid w:val="00863727"/>
    <w:rsid w:val="008B60CF"/>
    <w:rsid w:val="008F078F"/>
    <w:rsid w:val="00926F3B"/>
    <w:rsid w:val="009F05B8"/>
    <w:rsid w:val="009F5162"/>
    <w:rsid w:val="00A42BE3"/>
    <w:rsid w:val="00A70F42"/>
    <w:rsid w:val="00A7164E"/>
    <w:rsid w:val="00A97DE6"/>
    <w:rsid w:val="00AA1D8D"/>
    <w:rsid w:val="00AE3610"/>
    <w:rsid w:val="00B05D7F"/>
    <w:rsid w:val="00B268CB"/>
    <w:rsid w:val="00B30862"/>
    <w:rsid w:val="00B46671"/>
    <w:rsid w:val="00B47730"/>
    <w:rsid w:val="00B941B7"/>
    <w:rsid w:val="00BE419C"/>
    <w:rsid w:val="00C35E0E"/>
    <w:rsid w:val="00CB0664"/>
    <w:rsid w:val="00D20B46"/>
    <w:rsid w:val="00D314FE"/>
    <w:rsid w:val="00D319A9"/>
    <w:rsid w:val="00D361D2"/>
    <w:rsid w:val="00D976A6"/>
    <w:rsid w:val="00DE3A0A"/>
    <w:rsid w:val="00E07F0F"/>
    <w:rsid w:val="00E15906"/>
    <w:rsid w:val="00E17812"/>
    <w:rsid w:val="00E17B31"/>
    <w:rsid w:val="00FC693F"/>
    <w:rsid w:val="00FD367B"/>
    <w:rsid w:val="158BD3C4"/>
    <w:rsid w:val="179FE4EB"/>
    <w:rsid w:val="1A8A00DC"/>
    <w:rsid w:val="21D8E08C"/>
    <w:rsid w:val="30DB3DDA"/>
    <w:rsid w:val="58A6C9A2"/>
    <w:rsid w:val="59EE0618"/>
    <w:rsid w:val="5F2ED326"/>
    <w:rsid w:val="6016D5F2"/>
    <w:rsid w:val="6B50A16A"/>
    <w:rsid w:val="6CD39D50"/>
    <w:rsid w:val="77E8E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99A20"/>
  <w14:defaultImageDpi w14:val="300"/>
  <w15:docId w15:val="{24F82C82-A48F-4C6A-94EC-18D7B44B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6"/>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7"/>
      </w:numPr>
      <w:contextualSpacing/>
    </w:pPr>
  </w:style>
  <w:style w:type="paragraph" w:styleId="ListNumber">
    <w:name w:val="List Number"/>
    <w:basedOn w:val="Normal"/>
    <w:uiPriority w:val="99"/>
    <w:unhideWhenUsed/>
    <w:rsid w:val="00326F90"/>
    <w:pPr>
      <w:numPr>
        <w:numId w:val="9"/>
      </w:numPr>
      <w:contextualSpacing/>
    </w:pPr>
  </w:style>
  <w:style w:type="paragraph" w:styleId="ListNumber2">
    <w:name w:val="List Number 2"/>
    <w:basedOn w:val="Normal"/>
    <w:uiPriority w:val="99"/>
    <w:unhideWhenUsed/>
    <w:rsid w:val="0029639D"/>
    <w:pPr>
      <w:numPr>
        <w:numId w:val="4"/>
      </w:numPr>
      <w:contextualSpacing/>
    </w:pPr>
  </w:style>
  <w:style w:type="paragraph" w:styleId="ListNumber3">
    <w:name w:val="List Number 3"/>
    <w:basedOn w:val="Normal"/>
    <w:uiPriority w:val="99"/>
    <w:unhideWhenUsed/>
    <w:rsid w:val="0029639D"/>
    <w:pPr>
      <w:numPr>
        <w:numId w:val="10"/>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65C52"/>
    <w:rPr>
      <w:color w:val="0000FF" w:themeColor="hyperlink"/>
      <w:u w:val="single"/>
    </w:rPr>
  </w:style>
  <w:style w:type="character" w:styleId="UnresolvedMention">
    <w:name w:val="Unresolved Mention"/>
    <w:basedOn w:val="DefaultParagraphFont"/>
    <w:uiPriority w:val="99"/>
    <w:semiHidden/>
    <w:unhideWhenUsed/>
    <w:rsid w:val="0046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2ipAtT_abkqatcNfFXJwxjxbFzuAHwpOiwblqhQtSNhURUVTTzhUWUNOSVhOSlJKNDJISDY2VDFaMyQlQCN0PWc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d3hgrlq6yacptf.cloudfront.net%2F5f209069c4808%2Fcontent%2Fpages%2Fdocuments%2F3-things-parish-toolkit.docx&amp;wdOrigin=BROWSELINK" TargetMode="External"/><Relationship Id="rId5" Type="http://schemas.openxmlformats.org/officeDocument/2006/relationships/numbering" Target="numbering.xml"/><Relationship Id="rId10" Type="http://schemas.openxmlformats.org/officeDocument/2006/relationships/hyperlink" Target="https://view.officeapps.live.com/op/view.aspx?src=https%3A%2F%2Fd3hgrlq6yacptf.cloudfront.net%2F5f209069c4808%2Fcontent%2Fpages%2Fdocuments%2F3-things-thinking-broadly-guide.docx&amp;wdOrigin=BROWSELIN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a90b6e-af6f-4901-b768-d395eb1df6e0">
      <Terms xmlns="http://schemas.microsoft.com/office/infopath/2007/PartnerControls"/>
    </lcf76f155ced4ddcb4097134ff3c332f>
    <TaxCatchAll xmlns="9f76a8ea-7297-4ec6-93de-835e0b246a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CC3FB1736D574CB9DDF9DE5A2A3B24" ma:contentTypeVersion="10" ma:contentTypeDescription="Create a new document." ma:contentTypeScope="" ma:versionID="beea3a8711d292ad323b44f45e9e4f6a">
  <xsd:schema xmlns:xsd="http://www.w3.org/2001/XMLSchema" xmlns:xs="http://www.w3.org/2001/XMLSchema" xmlns:p="http://schemas.microsoft.com/office/2006/metadata/properties" xmlns:ns2="76a90b6e-af6f-4901-b768-d395eb1df6e0" xmlns:ns3="9f76a8ea-7297-4ec6-93de-835e0b246ab5" targetNamespace="http://schemas.microsoft.com/office/2006/metadata/properties" ma:root="true" ma:fieldsID="5a153cdf114bb5cf0ef90e17ef3e6579" ns2:_="" ns3:_="">
    <xsd:import namespace="76a90b6e-af6f-4901-b768-d395eb1df6e0"/>
    <xsd:import namespace="9f76a8ea-7297-4ec6-93de-835e0b246a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90b6e-af6f-4901-b768-d395eb1df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6fa388-df72-4059-a89b-9cf282f5a0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6a8ea-7297-4ec6-93de-835e0b246a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f608b4-d4ab-4412-a56d-aa5c639f6e09}" ma:internalName="TaxCatchAll" ma:showField="CatchAllData" ma:web="9f76a8ea-7297-4ec6-93de-835e0b246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3208847-219F-4A61-AD1F-BF26F8DE6A42}">
  <ds:schemaRefs>
    <ds:schemaRef ds:uri="http://schemas.microsoft.com/office/2006/metadata/properties"/>
    <ds:schemaRef ds:uri="http://schemas.microsoft.com/office/infopath/2007/PartnerControls"/>
    <ds:schemaRef ds:uri="76a90b6e-af6f-4901-b768-d395eb1df6e0"/>
    <ds:schemaRef ds:uri="9f76a8ea-7297-4ec6-93de-835e0b246ab5"/>
  </ds:schemaRefs>
</ds:datastoreItem>
</file>

<file path=customXml/itemProps3.xml><?xml version="1.0" encoding="utf-8"?>
<ds:datastoreItem xmlns:ds="http://schemas.openxmlformats.org/officeDocument/2006/customXml" ds:itemID="{79027C99-E24B-43D6-B5EE-62D751268DF8}">
  <ds:schemaRefs>
    <ds:schemaRef ds:uri="http://schemas.microsoft.com/sharepoint/v3/contenttype/forms"/>
  </ds:schemaRefs>
</ds:datastoreItem>
</file>

<file path=customXml/itemProps4.xml><?xml version="1.0" encoding="utf-8"?>
<ds:datastoreItem xmlns:ds="http://schemas.openxmlformats.org/officeDocument/2006/customXml" ds:itemID="{A07645D0-5411-41F5-AF31-8CF77C6B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90b6e-af6f-4901-b768-d395eb1df6e0"/>
    <ds:schemaRef ds:uri="9f76a8ea-7297-4ec6-93de-835e0b246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3008</Characters>
  <Application>Microsoft Office Word</Application>
  <DocSecurity>0</DocSecurity>
  <Lines>25</Lines>
  <Paragraphs>7</Paragraphs>
  <ScaleCrop>false</ScaleCrop>
  <Manager/>
  <Company/>
  <LinksUpToDate>false</LinksUpToDate>
  <CharactersWithSpaces>3528</CharactersWithSpaces>
  <SharedDoc>false</SharedDoc>
  <HyperlinkBase/>
  <HLinks>
    <vt:vector size="6" baseType="variant">
      <vt:variant>
        <vt:i4>6029346</vt:i4>
      </vt:variant>
      <vt:variant>
        <vt:i4>0</vt:i4>
      </vt:variant>
      <vt:variant>
        <vt:i4>0</vt:i4>
      </vt:variant>
      <vt:variant>
        <vt:i4>5</vt:i4>
      </vt:variant>
      <vt:variant>
        <vt:lpwstr>https://forms.office.com/Pages/ResponsePage.aspx?id=2ipAtT_abkqatcNfFXJwxjxbFzuAHwpOiwblqhQtSNhURUVTTzhUWUNOSVhOSlJKNDJISDY2VDFaMyQlQCN0PWcu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Charlie Gurr</cp:lastModifiedBy>
  <cp:revision>62</cp:revision>
  <dcterms:created xsi:type="dcterms:W3CDTF">2025-09-11T05:53:00Z</dcterms:created>
  <dcterms:modified xsi:type="dcterms:W3CDTF">2025-09-12T12:47:00Z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0x01010009CC3FB1736D574CB9DDF9DE5A2A3B24</vt:lpwstr>
  </property>
  <property fmtid="{D5CDD505-2E9C-101B-9397-08002B2CF9AE}" pid="3" name="MediaServiceImageTags">
    <vt:lpwstr/>
  </property>
  <property fmtid="{D5CDD505-2E9C-101B-9397-08002B2CF9AE}" pid="4" name="docLang">
    <vt:lpwstr>en</vt:lpwstr>
  </property>
</Properties>
</file>