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9C0C0" w14:textId="0A46A4FD" w:rsidR="00AF5EA8" w:rsidRDefault="00AF5EA8" w:rsidP="00AF5EA8">
      <w:pPr>
        <w:jc w:val="center"/>
        <w:rPr>
          <w:b/>
          <w:u w:val="single"/>
        </w:rPr>
      </w:pPr>
      <w:r>
        <w:rPr>
          <w:b/>
          <w:u w:val="single"/>
        </w:rPr>
        <w:t xml:space="preserve">Review of Bank Account Tariffs </w:t>
      </w:r>
      <w:r w:rsidR="00F44AA5">
        <w:rPr>
          <w:b/>
          <w:u w:val="single"/>
        </w:rPr>
        <w:t>in</w:t>
      </w:r>
      <w:r>
        <w:rPr>
          <w:b/>
          <w:u w:val="single"/>
        </w:rPr>
        <w:t xml:space="preserve"> Canterbury Diocese</w:t>
      </w:r>
    </w:p>
    <w:p w14:paraId="7BD4541F" w14:textId="77777777" w:rsidR="00AF5EA8" w:rsidRDefault="00AF5EA8">
      <w:pPr>
        <w:rPr>
          <w:b/>
          <w:u w:val="single"/>
        </w:rPr>
      </w:pPr>
    </w:p>
    <w:p w14:paraId="7A7C8D30" w14:textId="6B2EFC0D" w:rsidR="001C0F44" w:rsidRPr="00AF5EA8" w:rsidRDefault="001C0F44">
      <w:pPr>
        <w:rPr>
          <w:b/>
          <w:u w:val="single"/>
        </w:rPr>
      </w:pPr>
      <w:r w:rsidRPr="00AF5EA8">
        <w:rPr>
          <w:b/>
          <w:u w:val="single"/>
        </w:rPr>
        <w:t>Background</w:t>
      </w:r>
    </w:p>
    <w:p w14:paraId="439F2795" w14:textId="77777777" w:rsidR="001C0F44" w:rsidRPr="00AF5EA8" w:rsidRDefault="001C0F44">
      <w:pPr>
        <w:rPr>
          <w:b/>
          <w:u w:val="single"/>
        </w:rPr>
      </w:pPr>
    </w:p>
    <w:p w14:paraId="58B02775" w14:textId="72638776" w:rsidR="001F5F53" w:rsidRPr="00AF5EA8" w:rsidRDefault="001C0F44">
      <w:r w:rsidRPr="00AF5EA8">
        <w:t xml:space="preserve">Towards the end of 2025 Lloyds Bank announced it was ceasing its Treasurer Account and moving account holders into either a Charity Account or a Community Account. </w:t>
      </w:r>
      <w:r w:rsidR="00542944" w:rsidRPr="00AF5EA8">
        <w:t xml:space="preserve">Whilst Parishes tended to be moved into </w:t>
      </w:r>
      <w:r w:rsidR="00AF5EA8">
        <w:t>Charity A</w:t>
      </w:r>
      <w:r w:rsidR="00542944" w:rsidRPr="00AF5EA8">
        <w:t>ccounts, Deaneries were moved into Community Accou</w:t>
      </w:r>
      <w:r w:rsidR="001F5F53" w:rsidRPr="00AF5EA8">
        <w:t>nts, where banking charges are now being levied for the first time. This has prompted a review of banking arrangements across the Diocese.</w:t>
      </w:r>
    </w:p>
    <w:p w14:paraId="42C2F85F" w14:textId="77777777" w:rsidR="001F5F53" w:rsidRPr="00AF5EA8" w:rsidRDefault="001F5F53"/>
    <w:p w14:paraId="04887065" w14:textId="1503ECE1" w:rsidR="001C0F44" w:rsidRPr="00AF5EA8" w:rsidRDefault="001F5F53">
      <w:r w:rsidRPr="00AF5EA8">
        <w:t xml:space="preserve">Based on a return from those Parishes and Deaneries, who currently bank with Lloyds, </w:t>
      </w:r>
      <w:r w:rsidRPr="00200712">
        <w:rPr>
          <w:b/>
        </w:rPr>
        <w:t xml:space="preserve">total annual banking charges will reach approximately </w:t>
      </w:r>
      <w:r w:rsidR="00095564" w:rsidRPr="00200712">
        <w:rPr>
          <w:b/>
        </w:rPr>
        <w:t>£5,000</w:t>
      </w:r>
      <w:r w:rsidR="000C3969" w:rsidRPr="00200712">
        <w:rPr>
          <w:b/>
        </w:rPr>
        <w:t>.</w:t>
      </w:r>
      <w:r w:rsidR="000C3969">
        <w:t xml:space="preserve"> This does not take into account the margin earned by Lloyds on the core balances Parishes and Deaneries maintain in their accounts, which are not interest bearing</w:t>
      </w:r>
      <w:r w:rsidR="00F44AA5">
        <w:t xml:space="preserve"> (as is the case with the NatWest and Co-op Banks)</w:t>
      </w:r>
      <w:r w:rsidR="000C3969">
        <w:t>.</w:t>
      </w:r>
    </w:p>
    <w:p w14:paraId="32B4C844" w14:textId="77777777" w:rsidR="001F5F53" w:rsidRPr="00AF5EA8" w:rsidRDefault="001F5F53"/>
    <w:p w14:paraId="5C739A7D" w14:textId="52149F05" w:rsidR="001F5F53" w:rsidRDefault="001F5F53">
      <w:r w:rsidRPr="00AF5EA8">
        <w:t xml:space="preserve">A comparison of tariffs applied by Lloyds’ Charity and Community Accounts follows, together with </w:t>
      </w:r>
      <w:r w:rsidR="00AC143E" w:rsidRPr="00AF5EA8">
        <w:t xml:space="preserve">a comparison between Lloyds, </w:t>
      </w:r>
      <w:r w:rsidRPr="00AF5EA8">
        <w:t>NatWes</w:t>
      </w:r>
      <w:r w:rsidR="00AC143E" w:rsidRPr="00AF5EA8">
        <w:t>t and Co-operative banks</w:t>
      </w:r>
      <w:r w:rsidRPr="00AF5EA8">
        <w:t>.</w:t>
      </w:r>
    </w:p>
    <w:p w14:paraId="52A33C0B" w14:textId="77777777" w:rsidR="00F44AA5" w:rsidRDefault="00F44AA5">
      <w:bookmarkStart w:id="0" w:name="_GoBack"/>
      <w:bookmarkEnd w:id="0"/>
    </w:p>
    <w:p w14:paraId="5B4356B3" w14:textId="4161EFA9" w:rsidR="00F44AA5" w:rsidRPr="00AF5EA8" w:rsidRDefault="00F44AA5">
      <w:r>
        <w:t>A brief conclusion is followed by some suggested next steps.</w:t>
      </w:r>
    </w:p>
    <w:p w14:paraId="17416A7E" w14:textId="77777777" w:rsidR="001C0F44" w:rsidRPr="00AF5EA8" w:rsidRDefault="001C0F44">
      <w:pPr>
        <w:rPr>
          <w:b/>
          <w:u w:val="single"/>
        </w:rPr>
      </w:pPr>
    </w:p>
    <w:p w14:paraId="44CAC513" w14:textId="10B0F370" w:rsidR="00D62104" w:rsidRPr="00AF5EA8" w:rsidRDefault="00403C18" w:rsidP="001F5F53">
      <w:pPr>
        <w:pStyle w:val="ListParagraph"/>
        <w:numPr>
          <w:ilvl w:val="0"/>
          <w:numId w:val="6"/>
        </w:numPr>
        <w:rPr>
          <w:b/>
          <w:u w:val="single"/>
        </w:rPr>
      </w:pPr>
      <w:r w:rsidRPr="00AF5EA8">
        <w:rPr>
          <w:b/>
          <w:u w:val="single"/>
        </w:rPr>
        <w:t>Lloyds Charity Account / Community Account Comparison</w:t>
      </w:r>
    </w:p>
    <w:p w14:paraId="31F7349B" w14:textId="77777777" w:rsidR="00403C18" w:rsidRPr="00AF5EA8" w:rsidRDefault="00403C18"/>
    <w:p w14:paraId="31F739A2" w14:textId="666E234D" w:rsidR="00F665DE" w:rsidRPr="00AF5EA8" w:rsidRDefault="00403C18" w:rsidP="00403C18">
      <w:pPr>
        <w:rPr>
          <w:rFonts w:eastAsia="Times New Roman" w:cs="Arial"/>
          <w:color w:val="222222"/>
          <w:shd w:val="clear" w:color="auto" w:fill="FFFFFF"/>
        </w:rPr>
      </w:pPr>
      <w:r w:rsidRPr="00403C18">
        <w:rPr>
          <w:rFonts w:eastAsia="Times New Roman" w:cs="Arial"/>
          <w:color w:val="222222"/>
          <w:shd w:val="clear" w:color="auto" w:fill="FFFFFF"/>
        </w:rPr>
        <w:t>Charity Accou</w:t>
      </w:r>
      <w:r w:rsidR="00FE0282" w:rsidRPr="00AF5EA8">
        <w:rPr>
          <w:rFonts w:eastAsia="Times New Roman" w:cs="Arial"/>
          <w:color w:val="222222"/>
          <w:shd w:val="clear" w:color="auto" w:fill="FFFFFF"/>
        </w:rPr>
        <w:t xml:space="preserve">nt is </w:t>
      </w:r>
      <w:r w:rsidRPr="00403C18">
        <w:rPr>
          <w:rFonts w:eastAsia="Times New Roman" w:cs="Arial"/>
          <w:color w:val="222222"/>
          <w:shd w:val="clear" w:color="auto" w:fill="FFFFFF"/>
        </w:rPr>
        <w:t>for Registered charities (or exempt/excepted charities) with &lt; £250,000 paid in per year</w:t>
      </w:r>
      <w:r w:rsidR="00F665DE" w:rsidRPr="00AF5EA8">
        <w:rPr>
          <w:rFonts w:eastAsia="Times New Roman" w:cs="Arial"/>
          <w:color w:val="222222"/>
          <w:shd w:val="clear" w:color="auto" w:fill="FFFFFF"/>
        </w:rPr>
        <w:t>.</w:t>
      </w:r>
      <w:r w:rsidR="001F5F53" w:rsidRPr="00AF5EA8">
        <w:rPr>
          <w:rFonts w:eastAsia="Times New Roman" w:cs="Arial"/>
          <w:color w:val="222222"/>
          <w:shd w:val="clear" w:color="auto" w:fill="FFFFFF"/>
        </w:rPr>
        <w:t xml:space="preserve"> Parishes tend to be included by Lloyds Bank as Charities.</w:t>
      </w:r>
    </w:p>
    <w:p w14:paraId="213CD8CB" w14:textId="746AC5F4" w:rsidR="00FE0282" w:rsidRPr="00AF5EA8" w:rsidRDefault="00403C18" w:rsidP="00403C18">
      <w:pPr>
        <w:rPr>
          <w:rFonts w:eastAsia="Times New Roman" w:cs="Arial"/>
          <w:color w:val="222222"/>
          <w:shd w:val="clear" w:color="auto" w:fill="FFFFFF"/>
        </w:rPr>
      </w:pPr>
      <w:r w:rsidRPr="00403C18">
        <w:rPr>
          <w:rFonts w:eastAsia="Times New Roman" w:cs="Arial"/>
          <w:color w:val="222222"/>
          <w:shd w:val="clear" w:color="auto" w:fill="FFFFFF"/>
        </w:rPr>
        <w:t xml:space="preserve"> </w:t>
      </w:r>
    </w:p>
    <w:p w14:paraId="3F391422" w14:textId="6CA24EE9" w:rsidR="00F665DE" w:rsidRPr="00AF5EA8" w:rsidRDefault="00FE0282" w:rsidP="00403C18">
      <w:pPr>
        <w:rPr>
          <w:rFonts w:eastAsia="Times New Roman" w:cs="Arial"/>
          <w:color w:val="222222"/>
          <w:shd w:val="clear" w:color="auto" w:fill="FFFFFF"/>
        </w:rPr>
      </w:pPr>
      <w:r w:rsidRPr="00AF5EA8">
        <w:rPr>
          <w:rFonts w:eastAsia="Times New Roman" w:cs="Arial"/>
          <w:color w:val="222222"/>
          <w:shd w:val="clear" w:color="auto" w:fill="FFFFFF"/>
        </w:rPr>
        <w:t xml:space="preserve">Community Account </w:t>
      </w:r>
      <w:r w:rsidR="00AF5EA8">
        <w:rPr>
          <w:rFonts w:eastAsia="Times New Roman" w:cs="Arial"/>
          <w:color w:val="222222"/>
          <w:shd w:val="clear" w:color="auto" w:fill="FFFFFF"/>
        </w:rPr>
        <w:t xml:space="preserve">is for </w:t>
      </w:r>
      <w:r w:rsidR="00403C18" w:rsidRPr="00403C18">
        <w:rPr>
          <w:rFonts w:eastAsia="Times New Roman" w:cs="Arial"/>
          <w:color w:val="222222"/>
          <w:shd w:val="clear" w:color="auto" w:fill="FFFFFF"/>
        </w:rPr>
        <w:t>Not-for-profit clubs, societies &amp; community organisations with &lt; £250,000 paid in per year</w:t>
      </w:r>
      <w:r w:rsidR="00785095" w:rsidRPr="00AF5EA8">
        <w:rPr>
          <w:rFonts w:eastAsia="Times New Roman" w:cs="Arial"/>
          <w:color w:val="222222"/>
          <w:shd w:val="clear" w:color="auto" w:fill="FFFFFF"/>
        </w:rPr>
        <w:t>.</w:t>
      </w:r>
      <w:r w:rsidR="00403C18" w:rsidRPr="00403C18">
        <w:rPr>
          <w:rFonts w:eastAsia="Times New Roman" w:cs="Arial"/>
          <w:color w:val="222222"/>
          <w:shd w:val="clear" w:color="auto" w:fill="FFFFFF"/>
        </w:rPr>
        <w:t xml:space="preserve"> </w:t>
      </w:r>
      <w:r w:rsidR="001F5F53" w:rsidRPr="00AF5EA8">
        <w:rPr>
          <w:rFonts w:eastAsia="Times New Roman" w:cs="Arial"/>
          <w:color w:val="222222"/>
          <w:shd w:val="clear" w:color="auto" w:fill="FFFFFF"/>
        </w:rPr>
        <w:t>Deaneries tend to be includ</w:t>
      </w:r>
      <w:r w:rsidR="00AF5EA8">
        <w:rPr>
          <w:rFonts w:eastAsia="Times New Roman" w:cs="Arial"/>
          <w:color w:val="222222"/>
          <w:shd w:val="clear" w:color="auto" w:fill="FFFFFF"/>
        </w:rPr>
        <w:t>ed by Lloyds Bank as community organisations</w:t>
      </w:r>
      <w:r w:rsidR="001F5F53" w:rsidRPr="00AF5EA8">
        <w:rPr>
          <w:rFonts w:eastAsia="Times New Roman" w:cs="Arial"/>
          <w:color w:val="222222"/>
          <w:shd w:val="clear" w:color="auto" w:fill="FFFFFF"/>
        </w:rPr>
        <w:t>, even after formal complaint that Deaneries should be categorised as Charities</w:t>
      </w:r>
      <w:r w:rsidR="000C3969">
        <w:rPr>
          <w:rFonts w:eastAsia="Times New Roman" w:cs="Arial"/>
          <w:color w:val="222222"/>
          <w:shd w:val="clear" w:color="auto" w:fill="FFFFFF"/>
        </w:rPr>
        <w:t xml:space="preserve"> (and hence not attract the monthly account fee)</w:t>
      </w:r>
      <w:r w:rsidR="001F5F53" w:rsidRPr="00AF5EA8">
        <w:rPr>
          <w:rFonts w:eastAsia="Times New Roman" w:cs="Arial"/>
          <w:color w:val="222222"/>
          <w:shd w:val="clear" w:color="auto" w:fill="FFFFFF"/>
        </w:rPr>
        <w:t>.</w:t>
      </w:r>
      <w:r w:rsidR="00F44AA5">
        <w:rPr>
          <w:rFonts w:eastAsia="Times New Roman" w:cs="Arial"/>
          <w:color w:val="222222"/>
          <w:shd w:val="clear" w:color="auto" w:fill="FFFFFF"/>
        </w:rPr>
        <w:t xml:space="preserve"> It should be noted that complaints made by some Parishes have simply been ignored by Lloyds Bank.</w:t>
      </w:r>
    </w:p>
    <w:p w14:paraId="189DD952" w14:textId="77777777" w:rsidR="004216B2" w:rsidRPr="00AF5EA8" w:rsidRDefault="004216B2" w:rsidP="00403C18">
      <w:pPr>
        <w:rPr>
          <w:rFonts w:eastAsia="Times New Roman" w:cs="Arial"/>
          <w:color w:val="222222"/>
          <w:shd w:val="clear" w:color="auto" w:fill="FFFFFF"/>
        </w:rPr>
      </w:pPr>
    </w:p>
    <w:p w14:paraId="7AA6E598" w14:textId="461290B6" w:rsidR="004216B2" w:rsidRPr="00AF5EA8" w:rsidRDefault="00AF5EA8" w:rsidP="00403C18">
      <w:pPr>
        <w:rPr>
          <w:rFonts w:eastAsia="Times New Roman" w:cs="Arial"/>
          <w:color w:val="222222"/>
          <w:shd w:val="clear" w:color="auto" w:fill="FFFFFF"/>
        </w:rPr>
      </w:pPr>
      <w:r>
        <w:rPr>
          <w:rFonts w:eastAsia="Times New Roman" w:cs="Arial"/>
          <w:color w:val="222222"/>
          <w:shd w:val="clear" w:color="auto" w:fill="FFFFFF"/>
        </w:rPr>
        <w:t>The table below details the Lloyds Bank tariffs for Charity and Community accounts:</w:t>
      </w:r>
    </w:p>
    <w:p w14:paraId="4B7EE57A" w14:textId="77777777" w:rsidR="00F665DE" w:rsidRPr="00AF5EA8" w:rsidRDefault="00F665DE" w:rsidP="00403C18">
      <w:pPr>
        <w:rPr>
          <w:rFonts w:eastAsia="Times New Roman" w:cs="Arial"/>
          <w:color w:val="222222"/>
          <w:shd w:val="clear" w:color="auto" w:fill="FFFFF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2951"/>
        <w:gridCol w:w="3004"/>
      </w:tblGrid>
      <w:tr w:rsidR="007C64D8" w:rsidRPr="00AF5EA8" w14:paraId="1A2A4AAF" w14:textId="77777777" w:rsidTr="007C64D8">
        <w:trPr>
          <w:jc w:val="center"/>
        </w:trPr>
        <w:tc>
          <w:tcPr>
            <w:tcW w:w="3055" w:type="dxa"/>
          </w:tcPr>
          <w:p w14:paraId="1BC5DB4B" w14:textId="0076AFDE" w:rsidR="00C9563E" w:rsidRPr="00AF5EA8" w:rsidRDefault="00C9563E" w:rsidP="00C9563E">
            <w:pPr>
              <w:jc w:val="center"/>
              <w:rPr>
                <w:rFonts w:eastAsia="Times New Roman" w:cs="Arial"/>
                <w:b/>
                <w:color w:val="222222"/>
                <w:shd w:val="clear" w:color="auto" w:fill="FFFFFF"/>
              </w:rPr>
            </w:pPr>
            <w:r w:rsidRPr="00AF5EA8">
              <w:rPr>
                <w:rFonts w:eastAsia="Times New Roman" w:cs="Arial"/>
                <w:b/>
                <w:color w:val="222222"/>
                <w:shd w:val="clear" w:color="auto" w:fill="FFFFFF"/>
              </w:rPr>
              <w:t xml:space="preserve">Account </w:t>
            </w:r>
            <w:r w:rsidR="00AC143E" w:rsidRPr="00AF5EA8">
              <w:rPr>
                <w:rFonts w:eastAsia="Times New Roman" w:cs="Arial"/>
                <w:b/>
                <w:color w:val="222222"/>
                <w:shd w:val="clear" w:color="auto" w:fill="FFFFFF"/>
              </w:rPr>
              <w:t>Feature</w:t>
            </w:r>
          </w:p>
        </w:tc>
        <w:tc>
          <w:tcPr>
            <w:tcW w:w="2951" w:type="dxa"/>
          </w:tcPr>
          <w:p w14:paraId="107A88F1" w14:textId="1A068E92" w:rsidR="00C9563E" w:rsidRPr="00AF5EA8" w:rsidRDefault="00C9563E" w:rsidP="00C9563E">
            <w:pPr>
              <w:jc w:val="center"/>
              <w:rPr>
                <w:rFonts w:eastAsia="Times New Roman" w:cs="Arial"/>
                <w:b/>
                <w:color w:val="222222"/>
                <w:shd w:val="clear" w:color="auto" w:fill="FFFFFF"/>
              </w:rPr>
            </w:pPr>
            <w:r w:rsidRPr="00AF5EA8">
              <w:rPr>
                <w:rFonts w:eastAsia="Times New Roman" w:cs="Arial"/>
                <w:b/>
                <w:color w:val="222222"/>
                <w:shd w:val="clear" w:color="auto" w:fill="FFFFFF"/>
              </w:rPr>
              <w:t>Charity Account</w:t>
            </w:r>
          </w:p>
        </w:tc>
        <w:tc>
          <w:tcPr>
            <w:tcW w:w="3004" w:type="dxa"/>
          </w:tcPr>
          <w:p w14:paraId="47E43DF9" w14:textId="08982E44" w:rsidR="00C9563E" w:rsidRPr="00AF5EA8" w:rsidRDefault="00C9563E" w:rsidP="00C9563E">
            <w:pPr>
              <w:jc w:val="center"/>
              <w:rPr>
                <w:rFonts w:eastAsia="Times New Roman" w:cs="Arial"/>
                <w:b/>
                <w:color w:val="222222"/>
                <w:shd w:val="clear" w:color="auto" w:fill="FFFFFF"/>
              </w:rPr>
            </w:pPr>
            <w:r w:rsidRPr="00AF5EA8">
              <w:rPr>
                <w:rFonts w:eastAsia="Times New Roman" w:cs="Arial"/>
                <w:b/>
                <w:color w:val="222222"/>
                <w:shd w:val="clear" w:color="auto" w:fill="FFFFFF"/>
              </w:rPr>
              <w:t>Community Account</w:t>
            </w:r>
          </w:p>
        </w:tc>
      </w:tr>
      <w:tr w:rsidR="007C64D8" w:rsidRPr="00AF5EA8" w14:paraId="39A52450" w14:textId="77777777" w:rsidTr="007C64D8">
        <w:trPr>
          <w:jc w:val="center"/>
        </w:trPr>
        <w:tc>
          <w:tcPr>
            <w:tcW w:w="3055" w:type="dxa"/>
          </w:tcPr>
          <w:p w14:paraId="637FCB27" w14:textId="1B9430EA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Monthly account fee</w:t>
            </w:r>
          </w:p>
        </w:tc>
        <w:tc>
          <w:tcPr>
            <w:tcW w:w="2951" w:type="dxa"/>
          </w:tcPr>
          <w:p w14:paraId="38A17E1F" w14:textId="3FA5C37B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</w:t>
            </w:r>
          </w:p>
        </w:tc>
        <w:tc>
          <w:tcPr>
            <w:tcW w:w="3004" w:type="dxa"/>
          </w:tcPr>
          <w:p w14:paraId="267034C5" w14:textId="74603818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 xml:space="preserve">£4.25 </w:t>
            </w:r>
          </w:p>
        </w:tc>
      </w:tr>
      <w:tr w:rsidR="007C64D8" w:rsidRPr="00AF5EA8" w14:paraId="50A20C78" w14:textId="77777777" w:rsidTr="007C64D8">
        <w:trPr>
          <w:jc w:val="center"/>
        </w:trPr>
        <w:tc>
          <w:tcPr>
            <w:tcW w:w="3055" w:type="dxa"/>
          </w:tcPr>
          <w:p w14:paraId="0F6ED420" w14:textId="563B602C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Electronic payments in</w:t>
            </w:r>
          </w:p>
        </w:tc>
        <w:tc>
          <w:tcPr>
            <w:tcW w:w="2951" w:type="dxa"/>
          </w:tcPr>
          <w:p w14:paraId="29CC98E8" w14:textId="615D2A6B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Free</w:t>
            </w:r>
          </w:p>
        </w:tc>
        <w:tc>
          <w:tcPr>
            <w:tcW w:w="3004" w:type="dxa"/>
          </w:tcPr>
          <w:p w14:paraId="2912C87C" w14:textId="5D7B87A7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Free</w:t>
            </w:r>
          </w:p>
        </w:tc>
      </w:tr>
      <w:tr w:rsidR="007C64D8" w:rsidRPr="00AF5EA8" w14:paraId="286F228D" w14:textId="77777777" w:rsidTr="007C64D8">
        <w:trPr>
          <w:jc w:val="center"/>
        </w:trPr>
        <w:tc>
          <w:tcPr>
            <w:tcW w:w="3055" w:type="dxa"/>
          </w:tcPr>
          <w:p w14:paraId="73C5461C" w14:textId="3651F07F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Electronic payments out</w:t>
            </w:r>
          </w:p>
        </w:tc>
        <w:tc>
          <w:tcPr>
            <w:tcW w:w="2951" w:type="dxa"/>
          </w:tcPr>
          <w:p w14:paraId="721F9D4D" w14:textId="0ACEB098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First 100/month free; then £0.10 each</w:t>
            </w:r>
          </w:p>
        </w:tc>
        <w:tc>
          <w:tcPr>
            <w:tcW w:w="3004" w:type="dxa"/>
          </w:tcPr>
          <w:p w14:paraId="41E27A00" w14:textId="36597C3B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First 100/month free; then £0.10 each</w:t>
            </w:r>
          </w:p>
        </w:tc>
      </w:tr>
      <w:tr w:rsidR="007C64D8" w:rsidRPr="00AF5EA8" w14:paraId="36324878" w14:textId="77777777" w:rsidTr="007C64D8">
        <w:trPr>
          <w:jc w:val="center"/>
        </w:trPr>
        <w:tc>
          <w:tcPr>
            <w:tcW w:w="3055" w:type="dxa"/>
          </w:tcPr>
          <w:p w14:paraId="4A8D38D0" w14:textId="3CF39BE7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Cash exchanged</w:t>
            </w:r>
          </w:p>
        </w:tc>
        <w:tc>
          <w:tcPr>
            <w:tcW w:w="2951" w:type="dxa"/>
          </w:tcPr>
          <w:p w14:paraId="26C9693E" w14:textId="79191B0F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£1.25 per £100</w:t>
            </w:r>
          </w:p>
        </w:tc>
        <w:tc>
          <w:tcPr>
            <w:tcW w:w="3004" w:type="dxa"/>
          </w:tcPr>
          <w:p w14:paraId="17D735A9" w14:textId="533004D6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£1.25 per £100</w:t>
            </w:r>
          </w:p>
        </w:tc>
      </w:tr>
      <w:tr w:rsidR="007C64D8" w:rsidRPr="00AF5EA8" w14:paraId="22B26FB6" w14:textId="77777777" w:rsidTr="007C64D8">
        <w:trPr>
          <w:jc w:val="center"/>
        </w:trPr>
        <w:tc>
          <w:tcPr>
            <w:tcW w:w="3055" w:type="dxa"/>
          </w:tcPr>
          <w:p w14:paraId="421306A6" w14:textId="4C8D0071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Cash paid in (branch/ATM)</w:t>
            </w:r>
          </w:p>
        </w:tc>
        <w:tc>
          <w:tcPr>
            <w:tcW w:w="2951" w:type="dxa"/>
          </w:tcPr>
          <w:p w14:paraId="6EF2ED16" w14:textId="38231BEB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£0.75 per £100</w:t>
            </w:r>
          </w:p>
        </w:tc>
        <w:tc>
          <w:tcPr>
            <w:tcW w:w="3004" w:type="dxa"/>
          </w:tcPr>
          <w:p w14:paraId="787E5C93" w14:textId="35F2D1C0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£0.75 per £100</w:t>
            </w:r>
          </w:p>
        </w:tc>
      </w:tr>
      <w:tr w:rsidR="007C64D8" w:rsidRPr="00AF5EA8" w14:paraId="34089E42" w14:textId="77777777" w:rsidTr="007C64D8">
        <w:trPr>
          <w:jc w:val="center"/>
        </w:trPr>
        <w:tc>
          <w:tcPr>
            <w:tcW w:w="3055" w:type="dxa"/>
          </w:tcPr>
          <w:p w14:paraId="327459C8" w14:textId="1650B692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Cash paid in (IDM/ADM)</w:t>
            </w:r>
          </w:p>
        </w:tc>
        <w:tc>
          <w:tcPr>
            <w:tcW w:w="2951" w:type="dxa"/>
          </w:tcPr>
          <w:p w14:paraId="34A51E21" w14:textId="40C8B175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£0.75 per £100</w:t>
            </w:r>
          </w:p>
        </w:tc>
        <w:tc>
          <w:tcPr>
            <w:tcW w:w="3004" w:type="dxa"/>
          </w:tcPr>
          <w:p w14:paraId="3D81B4FA" w14:textId="6E4CB7CF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£0.75 per £100</w:t>
            </w:r>
          </w:p>
        </w:tc>
      </w:tr>
      <w:tr w:rsidR="007C64D8" w:rsidRPr="00AF5EA8" w14:paraId="1FE44058" w14:textId="77777777" w:rsidTr="007C64D8">
        <w:trPr>
          <w:jc w:val="center"/>
        </w:trPr>
        <w:tc>
          <w:tcPr>
            <w:tcW w:w="3055" w:type="dxa"/>
          </w:tcPr>
          <w:p w14:paraId="49AC0FBC" w14:textId="32FD7F10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Cash paid out</w:t>
            </w:r>
          </w:p>
        </w:tc>
        <w:tc>
          <w:tcPr>
            <w:tcW w:w="2951" w:type="dxa"/>
          </w:tcPr>
          <w:p w14:paraId="68E47D41" w14:textId="0E386C80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£0.75 per £100</w:t>
            </w:r>
          </w:p>
        </w:tc>
        <w:tc>
          <w:tcPr>
            <w:tcW w:w="3004" w:type="dxa"/>
          </w:tcPr>
          <w:p w14:paraId="20A61E47" w14:textId="25A72B51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£0.75 per £100</w:t>
            </w:r>
          </w:p>
        </w:tc>
      </w:tr>
      <w:tr w:rsidR="007C64D8" w:rsidRPr="00AF5EA8" w14:paraId="3ACC053A" w14:textId="77777777" w:rsidTr="007C64D8">
        <w:trPr>
          <w:jc w:val="center"/>
        </w:trPr>
        <w:tc>
          <w:tcPr>
            <w:tcW w:w="3055" w:type="dxa"/>
          </w:tcPr>
          <w:p w14:paraId="62E91D7B" w14:textId="1B5A76F2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Cheque paid in (branch)</w:t>
            </w:r>
          </w:p>
        </w:tc>
        <w:tc>
          <w:tcPr>
            <w:tcW w:w="2951" w:type="dxa"/>
          </w:tcPr>
          <w:p w14:paraId="241CD2CC" w14:textId="7366A1FC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£0.50</w:t>
            </w:r>
          </w:p>
        </w:tc>
        <w:tc>
          <w:tcPr>
            <w:tcW w:w="3004" w:type="dxa"/>
          </w:tcPr>
          <w:p w14:paraId="00CFB128" w14:textId="4361465E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£0.50</w:t>
            </w:r>
          </w:p>
        </w:tc>
      </w:tr>
      <w:tr w:rsidR="007C64D8" w:rsidRPr="00AF5EA8" w14:paraId="285AAD59" w14:textId="77777777" w:rsidTr="007C64D8">
        <w:trPr>
          <w:jc w:val="center"/>
        </w:trPr>
        <w:tc>
          <w:tcPr>
            <w:tcW w:w="3055" w:type="dxa"/>
          </w:tcPr>
          <w:p w14:paraId="1AD593B8" w14:textId="337F2487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Cheque paid in (IDM/mobile)</w:t>
            </w:r>
          </w:p>
        </w:tc>
        <w:tc>
          <w:tcPr>
            <w:tcW w:w="2951" w:type="dxa"/>
          </w:tcPr>
          <w:p w14:paraId="0E90C3E0" w14:textId="565FA763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£0.42</w:t>
            </w:r>
          </w:p>
        </w:tc>
        <w:tc>
          <w:tcPr>
            <w:tcW w:w="3004" w:type="dxa"/>
          </w:tcPr>
          <w:p w14:paraId="62B72D88" w14:textId="2EA5649F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£0.42</w:t>
            </w:r>
          </w:p>
        </w:tc>
      </w:tr>
      <w:tr w:rsidR="007C64D8" w:rsidRPr="00AF5EA8" w14:paraId="0D2110D1" w14:textId="77777777" w:rsidTr="007C64D8">
        <w:trPr>
          <w:jc w:val="center"/>
        </w:trPr>
        <w:tc>
          <w:tcPr>
            <w:tcW w:w="3055" w:type="dxa"/>
          </w:tcPr>
          <w:p w14:paraId="3FC683BF" w14:textId="31EA8838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Cheque paid out</w:t>
            </w:r>
          </w:p>
        </w:tc>
        <w:tc>
          <w:tcPr>
            <w:tcW w:w="2951" w:type="dxa"/>
          </w:tcPr>
          <w:p w14:paraId="3DB904FD" w14:textId="028BAF3C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£0.50</w:t>
            </w:r>
          </w:p>
        </w:tc>
        <w:tc>
          <w:tcPr>
            <w:tcW w:w="3004" w:type="dxa"/>
          </w:tcPr>
          <w:p w14:paraId="7E012623" w14:textId="43CE477F" w:rsidR="00C9563E" w:rsidRPr="00AF5EA8" w:rsidRDefault="00C9563E" w:rsidP="00403C18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403C18">
              <w:rPr>
                <w:rFonts w:eastAsia="Times New Roman" w:cs="Arial"/>
                <w:color w:val="222222"/>
                <w:shd w:val="clear" w:color="auto" w:fill="FFFFFF"/>
              </w:rPr>
              <w:t>£0.50</w:t>
            </w:r>
          </w:p>
        </w:tc>
      </w:tr>
    </w:tbl>
    <w:p w14:paraId="469ECFDA" w14:textId="77777777" w:rsidR="00C9563E" w:rsidRPr="00AF5EA8" w:rsidRDefault="00C9563E" w:rsidP="00403C18">
      <w:pPr>
        <w:rPr>
          <w:rFonts w:eastAsia="Times New Roman" w:cs="Arial"/>
          <w:color w:val="222222"/>
          <w:shd w:val="clear" w:color="auto" w:fill="FFFFFF"/>
        </w:rPr>
      </w:pPr>
    </w:p>
    <w:p w14:paraId="2B0A2EEE" w14:textId="29BA378F" w:rsidR="00AF5EA8" w:rsidRDefault="00AF5EA8">
      <w:pPr>
        <w:rPr>
          <w:rFonts w:eastAsia="Times New Roman" w:cs="Arial"/>
          <w:color w:val="222222"/>
          <w:shd w:val="clear" w:color="auto" w:fill="FFFFFF"/>
        </w:rPr>
      </w:pPr>
    </w:p>
    <w:p w14:paraId="6C29EA10" w14:textId="77777777" w:rsidR="00C9563E" w:rsidRPr="00AF5EA8" w:rsidRDefault="00C9563E" w:rsidP="00403C18">
      <w:pPr>
        <w:rPr>
          <w:rFonts w:eastAsia="Times New Roman" w:cs="Arial"/>
          <w:color w:val="222222"/>
          <w:shd w:val="clear" w:color="auto" w:fill="FFFFFF"/>
        </w:rPr>
      </w:pPr>
    </w:p>
    <w:p w14:paraId="2050B56E" w14:textId="2C539737" w:rsidR="00403C18" w:rsidRPr="00AF5EA8" w:rsidRDefault="00C9563E" w:rsidP="00AC143E">
      <w:pPr>
        <w:pStyle w:val="ListParagraph"/>
        <w:numPr>
          <w:ilvl w:val="0"/>
          <w:numId w:val="6"/>
        </w:numPr>
        <w:rPr>
          <w:b/>
          <w:u w:val="single"/>
        </w:rPr>
      </w:pPr>
      <w:r w:rsidRPr="00AF5EA8">
        <w:rPr>
          <w:b/>
          <w:u w:val="single"/>
        </w:rPr>
        <w:t xml:space="preserve">Lloyds, </w:t>
      </w:r>
      <w:r w:rsidR="00F25444" w:rsidRPr="00AF5EA8">
        <w:rPr>
          <w:b/>
          <w:u w:val="single"/>
        </w:rPr>
        <w:t xml:space="preserve">Nat West </w:t>
      </w:r>
      <w:r w:rsidRPr="00AF5EA8">
        <w:rPr>
          <w:b/>
          <w:u w:val="single"/>
        </w:rPr>
        <w:t>and Co-op Banks</w:t>
      </w:r>
      <w:r w:rsidR="00AF5EA8">
        <w:rPr>
          <w:b/>
          <w:u w:val="single"/>
        </w:rPr>
        <w:t>’</w:t>
      </w:r>
      <w:r w:rsidRPr="00AF5EA8">
        <w:rPr>
          <w:b/>
          <w:u w:val="single"/>
        </w:rPr>
        <w:t xml:space="preserve"> </w:t>
      </w:r>
      <w:r w:rsidR="00AF5EA8">
        <w:rPr>
          <w:b/>
          <w:u w:val="single"/>
        </w:rPr>
        <w:t xml:space="preserve">Tariffs </w:t>
      </w:r>
      <w:r w:rsidR="00F25444" w:rsidRPr="00AF5EA8">
        <w:rPr>
          <w:b/>
          <w:u w:val="single"/>
        </w:rPr>
        <w:t>Compared</w:t>
      </w:r>
    </w:p>
    <w:p w14:paraId="62B5990D" w14:textId="77777777" w:rsidR="00F25444" w:rsidRPr="00AF5EA8" w:rsidRDefault="00F25444"/>
    <w:p w14:paraId="663DB369" w14:textId="3CAD5E61" w:rsidR="006B6D8A" w:rsidRPr="00AF5EA8" w:rsidRDefault="00AC143E">
      <w:pPr>
        <w:rPr>
          <w:b/>
        </w:rPr>
      </w:pPr>
      <w:r w:rsidRPr="00AF5EA8">
        <w:rPr>
          <w:b/>
        </w:rPr>
        <w:t xml:space="preserve">2.1) </w:t>
      </w:r>
      <w:r w:rsidR="00AF5EA8" w:rsidRPr="00AF5EA8">
        <w:rPr>
          <w:b/>
        </w:rPr>
        <w:t>Lloyds Bank</w:t>
      </w:r>
      <w:r w:rsidR="00C9563E" w:rsidRPr="00AF5EA8">
        <w:rPr>
          <w:b/>
        </w:rPr>
        <w:t xml:space="preserve"> </w:t>
      </w:r>
    </w:p>
    <w:p w14:paraId="148772FF" w14:textId="77777777" w:rsidR="006B6D8A" w:rsidRPr="00AF5EA8" w:rsidRDefault="006B6D8A"/>
    <w:p w14:paraId="422FFFE0" w14:textId="6818A539" w:rsidR="00C9563E" w:rsidRPr="00AF5EA8" w:rsidRDefault="00C9563E">
      <w:r w:rsidRPr="00AF5EA8">
        <w:t>see tariff schedule in table above.</w:t>
      </w:r>
    </w:p>
    <w:p w14:paraId="6C0E7A35" w14:textId="77777777" w:rsidR="00AC143E" w:rsidRPr="00AF5EA8" w:rsidRDefault="00AC143E"/>
    <w:p w14:paraId="17327C65" w14:textId="77777777" w:rsidR="00AC143E" w:rsidRPr="00AF5EA8" w:rsidRDefault="00AC143E" w:rsidP="00AC143E">
      <w:p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Summary: </w:t>
      </w:r>
    </w:p>
    <w:p w14:paraId="06DAE6E5" w14:textId="77777777" w:rsidR="00AC143E" w:rsidRPr="00AF5EA8" w:rsidRDefault="00AC143E" w:rsidP="00AC143E">
      <w:pPr>
        <w:rPr>
          <w:rFonts w:cs="Arial"/>
          <w:color w:val="1A1A1A"/>
        </w:rPr>
      </w:pPr>
    </w:p>
    <w:p w14:paraId="0C85670C" w14:textId="77777777" w:rsidR="00AC143E" w:rsidRPr="00AF5EA8" w:rsidRDefault="00AC143E" w:rsidP="006E7980">
      <w:pPr>
        <w:pStyle w:val="ListParagraph"/>
        <w:numPr>
          <w:ilvl w:val="0"/>
          <w:numId w:val="8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No monthly fee for Charity Account but Community Account attracts a monthly fee of £4.25. </w:t>
      </w:r>
    </w:p>
    <w:p w14:paraId="42FF6F4D" w14:textId="77777777" w:rsidR="00AC143E" w:rsidRPr="00AF5EA8" w:rsidRDefault="00AC143E" w:rsidP="006E7980">
      <w:pPr>
        <w:pStyle w:val="ListParagraph"/>
        <w:numPr>
          <w:ilvl w:val="0"/>
          <w:numId w:val="8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Free basic electronic payments (up to 100 out per month). </w:t>
      </w:r>
    </w:p>
    <w:p w14:paraId="4790A7BF" w14:textId="3BF48266" w:rsidR="00AC143E" w:rsidRPr="00AF5EA8" w:rsidRDefault="00AC143E" w:rsidP="006E7980">
      <w:pPr>
        <w:pStyle w:val="ListParagraph"/>
        <w:numPr>
          <w:ilvl w:val="0"/>
          <w:numId w:val="8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Cash and cheque transactions incur fees on both Charity and Community Accounts. </w:t>
      </w:r>
    </w:p>
    <w:p w14:paraId="46781302" w14:textId="77777777" w:rsidR="00C9563E" w:rsidRPr="00AF5EA8" w:rsidRDefault="00C9563E"/>
    <w:p w14:paraId="51916D46" w14:textId="1662FDEC" w:rsidR="006B6D8A" w:rsidRPr="00AF5EA8" w:rsidRDefault="00AC143E">
      <w:pPr>
        <w:rPr>
          <w:rFonts w:cs="Arial"/>
          <w:b/>
          <w:color w:val="1A1A1A"/>
        </w:rPr>
      </w:pPr>
      <w:r w:rsidRPr="00AF5EA8">
        <w:rPr>
          <w:rFonts w:cs="Arial"/>
          <w:b/>
          <w:color w:val="1A1A1A"/>
        </w:rPr>
        <w:t xml:space="preserve">2.2) </w:t>
      </w:r>
      <w:r w:rsidR="00C9563E" w:rsidRPr="00AF5EA8">
        <w:rPr>
          <w:rFonts w:cs="Arial"/>
          <w:b/>
          <w:color w:val="1A1A1A"/>
        </w:rPr>
        <w:t xml:space="preserve">NatWest </w:t>
      </w:r>
      <w:r w:rsidR="000C3969">
        <w:rPr>
          <w:rFonts w:cs="Arial"/>
          <w:b/>
          <w:color w:val="1A1A1A"/>
        </w:rPr>
        <w:t>Bank</w:t>
      </w:r>
    </w:p>
    <w:p w14:paraId="26C1461E" w14:textId="77777777" w:rsidR="006B6D8A" w:rsidRPr="00AF5EA8" w:rsidRDefault="006B6D8A">
      <w:pPr>
        <w:rPr>
          <w:rFonts w:cs="Arial"/>
          <w:color w:val="1A1A1A"/>
        </w:rPr>
      </w:pPr>
    </w:p>
    <w:p w14:paraId="7F992C84" w14:textId="5EF1401B" w:rsidR="00EC1324" w:rsidRPr="00AF5EA8" w:rsidRDefault="00AC143E">
      <w:p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NatWest </w:t>
      </w:r>
      <w:r w:rsidR="00C9563E" w:rsidRPr="00AF5EA8">
        <w:rPr>
          <w:rFonts w:cs="Arial"/>
          <w:color w:val="1A1A1A"/>
        </w:rPr>
        <w:t>does not</w:t>
      </w:r>
      <w:r w:rsidR="00AF5EA8">
        <w:rPr>
          <w:rFonts w:cs="Arial"/>
          <w:color w:val="1A1A1A"/>
        </w:rPr>
        <w:t xml:space="preserve"> have a dedicated </w:t>
      </w:r>
      <w:r w:rsidR="00F25444" w:rsidRPr="00AF5EA8">
        <w:rPr>
          <w:rFonts w:cs="Arial"/>
          <w:color w:val="1A1A1A"/>
        </w:rPr>
        <w:t>Charity Accoun</w:t>
      </w:r>
      <w:r w:rsidR="00AF5EA8">
        <w:rPr>
          <w:rFonts w:cs="Arial"/>
          <w:color w:val="1A1A1A"/>
        </w:rPr>
        <w:t>t</w:t>
      </w:r>
      <w:r w:rsidR="00F665DE" w:rsidRPr="00AF5EA8">
        <w:rPr>
          <w:rFonts w:cs="Arial"/>
          <w:color w:val="1A1A1A"/>
        </w:rPr>
        <w:t xml:space="preserve"> brand the way Lloyds does. It</w:t>
      </w:r>
      <w:r w:rsidR="00F25444" w:rsidRPr="00AF5EA8">
        <w:rPr>
          <w:rFonts w:cs="Arial"/>
          <w:color w:val="1A1A1A"/>
        </w:rPr>
        <w:t xml:space="preserve"> mainly offers free banking on its Community/Business Current </w:t>
      </w:r>
      <w:r w:rsidR="00EC1324" w:rsidRPr="00AF5EA8">
        <w:rPr>
          <w:rFonts w:cs="Arial"/>
          <w:color w:val="1A1A1A"/>
        </w:rPr>
        <w:t>Accounts if certain criteria are met</w:t>
      </w:r>
      <w:r w:rsidR="00910B92" w:rsidRPr="00AF5EA8">
        <w:rPr>
          <w:rFonts w:cs="Arial"/>
          <w:color w:val="1A1A1A"/>
        </w:rPr>
        <w:t>, which are:</w:t>
      </w:r>
    </w:p>
    <w:p w14:paraId="2ABF0843" w14:textId="77777777" w:rsidR="00F665DE" w:rsidRPr="00AF5EA8" w:rsidRDefault="00F665DE" w:rsidP="00910B92">
      <w:pPr>
        <w:rPr>
          <w:rFonts w:cs="Arial"/>
          <w:color w:val="1A1A1A"/>
        </w:rPr>
      </w:pPr>
    </w:p>
    <w:p w14:paraId="258D4095" w14:textId="0463A662" w:rsidR="00910B92" w:rsidRPr="00AF5EA8" w:rsidRDefault="006E7980" w:rsidP="00AF5EA8">
      <w:pPr>
        <w:pStyle w:val="ListParagraph"/>
        <w:numPr>
          <w:ilvl w:val="0"/>
          <w:numId w:val="13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>Accounts available to c</w:t>
      </w:r>
      <w:r w:rsidR="000A2D48" w:rsidRPr="00AF5EA8">
        <w:rPr>
          <w:rFonts w:cs="Arial"/>
          <w:color w:val="1A1A1A"/>
        </w:rPr>
        <w:t>harities, clubs, societies, community organisations</w:t>
      </w:r>
      <w:r w:rsidRPr="00AF5EA8">
        <w:rPr>
          <w:rFonts w:cs="Arial"/>
          <w:color w:val="1A1A1A"/>
        </w:rPr>
        <w:t>.</w:t>
      </w:r>
      <w:r w:rsidR="000A2D48" w:rsidRPr="00AF5EA8">
        <w:rPr>
          <w:rFonts w:cs="Arial"/>
          <w:color w:val="1A1A1A"/>
        </w:rPr>
        <w:t xml:space="preserve"> </w:t>
      </w:r>
    </w:p>
    <w:p w14:paraId="33B795CD" w14:textId="2DEFCA6B" w:rsidR="00910B92" w:rsidRPr="00AF5EA8" w:rsidRDefault="000C3969" w:rsidP="00AF5EA8">
      <w:pPr>
        <w:pStyle w:val="ListParagraph"/>
        <w:numPr>
          <w:ilvl w:val="0"/>
          <w:numId w:val="13"/>
        </w:numPr>
        <w:rPr>
          <w:rFonts w:cs="Arial"/>
          <w:color w:val="1A1A1A"/>
        </w:rPr>
      </w:pPr>
      <w:r>
        <w:rPr>
          <w:rFonts w:cs="Arial"/>
          <w:color w:val="1A1A1A"/>
        </w:rPr>
        <w:t>A</w:t>
      </w:r>
      <w:r w:rsidR="000A2D48" w:rsidRPr="00AF5EA8">
        <w:rPr>
          <w:rFonts w:cs="Arial"/>
          <w:color w:val="1A1A1A"/>
        </w:rPr>
        <w:t>nnual credit tu</w:t>
      </w:r>
      <w:r w:rsidR="00910B92" w:rsidRPr="00AF5EA8">
        <w:rPr>
          <w:rFonts w:cs="Arial"/>
          <w:color w:val="1A1A1A"/>
        </w:rPr>
        <w:t>rnover is less than £100,000</w:t>
      </w:r>
      <w:r w:rsidR="00AF5EA8">
        <w:rPr>
          <w:rFonts w:cs="Arial"/>
          <w:color w:val="1A1A1A"/>
        </w:rPr>
        <w:t>.</w:t>
      </w:r>
      <w:r w:rsidR="000A2D48" w:rsidRPr="00AF5EA8">
        <w:rPr>
          <w:rFonts w:cs="Arial"/>
          <w:color w:val="1A1A1A"/>
        </w:rPr>
        <w:t xml:space="preserve"> </w:t>
      </w:r>
    </w:p>
    <w:p w14:paraId="71865FDF" w14:textId="09443DB6" w:rsidR="00F665DE" w:rsidRPr="00AF5EA8" w:rsidRDefault="000C3969" w:rsidP="00AF5EA8">
      <w:pPr>
        <w:pStyle w:val="ListParagraph"/>
        <w:numPr>
          <w:ilvl w:val="0"/>
          <w:numId w:val="13"/>
        </w:numPr>
        <w:rPr>
          <w:rFonts w:cs="Arial"/>
          <w:color w:val="1A1A1A"/>
        </w:rPr>
      </w:pPr>
      <w:r>
        <w:rPr>
          <w:rFonts w:cs="Arial"/>
          <w:color w:val="1A1A1A"/>
        </w:rPr>
        <w:t>A</w:t>
      </w:r>
      <w:r w:rsidR="000A2D48" w:rsidRPr="00AF5EA8">
        <w:rPr>
          <w:rFonts w:cs="Arial"/>
          <w:color w:val="1A1A1A"/>
        </w:rPr>
        <w:t xml:space="preserve">t least one applicant has </w:t>
      </w:r>
      <w:r w:rsidR="006E7980" w:rsidRPr="00AF5EA8">
        <w:rPr>
          <w:rFonts w:cs="Arial"/>
          <w:color w:val="1A1A1A"/>
        </w:rPr>
        <w:t xml:space="preserve">to have </w:t>
      </w:r>
      <w:r w:rsidR="000A2D48" w:rsidRPr="00AF5EA8">
        <w:rPr>
          <w:rFonts w:cs="Arial"/>
          <w:color w:val="1A1A1A"/>
        </w:rPr>
        <w:t xml:space="preserve">an existing NatWest personal or business relationship. </w:t>
      </w:r>
    </w:p>
    <w:p w14:paraId="7E083BEF" w14:textId="77777777" w:rsidR="004216B2" w:rsidRPr="00AF5EA8" w:rsidRDefault="004216B2" w:rsidP="00F665DE">
      <w:pPr>
        <w:rPr>
          <w:rFonts w:cs="Arial"/>
          <w:color w:val="1A1A1A"/>
        </w:rPr>
      </w:pPr>
    </w:p>
    <w:p w14:paraId="06780851" w14:textId="44678EF7" w:rsidR="00910B92" w:rsidRPr="00AF5EA8" w:rsidRDefault="00910B92" w:rsidP="00910B92">
      <w:p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Fees &amp; Charges if </w:t>
      </w:r>
      <w:r w:rsidR="00AC143E" w:rsidRPr="00AF5EA8">
        <w:rPr>
          <w:rFonts w:cs="Arial"/>
          <w:color w:val="1A1A1A"/>
        </w:rPr>
        <w:t xml:space="preserve">above </w:t>
      </w:r>
      <w:r w:rsidRPr="00AF5EA8">
        <w:rPr>
          <w:rFonts w:cs="Arial"/>
          <w:color w:val="1A1A1A"/>
        </w:rPr>
        <w:t xml:space="preserve">criteria </w:t>
      </w:r>
      <w:r w:rsidR="00AC143E" w:rsidRPr="00AF5EA8">
        <w:rPr>
          <w:rFonts w:cs="Arial"/>
          <w:color w:val="1A1A1A"/>
        </w:rPr>
        <w:t xml:space="preserve">are </w:t>
      </w:r>
      <w:r w:rsidRPr="00AF5EA8">
        <w:rPr>
          <w:rFonts w:cs="Arial"/>
          <w:color w:val="1A1A1A"/>
        </w:rPr>
        <w:t xml:space="preserve">not </w:t>
      </w:r>
      <w:r w:rsidRPr="00AF5EA8">
        <w:rPr>
          <w:rFonts w:cs="Arial"/>
          <w:color w:val="1A1A1A"/>
        </w:rPr>
        <w:t>met:</w:t>
      </w:r>
    </w:p>
    <w:p w14:paraId="7E8D1BFF" w14:textId="77777777" w:rsidR="00910B92" w:rsidRPr="00AF5EA8" w:rsidRDefault="00910B92" w:rsidP="00F665DE">
      <w:pPr>
        <w:rPr>
          <w:rFonts w:cs="Arial"/>
          <w:color w:val="1A1A1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2340"/>
      </w:tblGrid>
      <w:tr w:rsidR="007C64D8" w:rsidRPr="00AF5EA8" w14:paraId="5539E88A" w14:textId="77777777" w:rsidTr="007C64D8">
        <w:trPr>
          <w:jc w:val="center"/>
        </w:trPr>
        <w:tc>
          <w:tcPr>
            <w:tcW w:w="4675" w:type="dxa"/>
          </w:tcPr>
          <w:p w14:paraId="4A8F64DE" w14:textId="0C20A77E" w:rsidR="00910B92" w:rsidRPr="00AF5EA8" w:rsidRDefault="00910B92" w:rsidP="006E7980">
            <w:pPr>
              <w:jc w:val="center"/>
              <w:rPr>
                <w:rFonts w:cs="Arial"/>
                <w:b/>
                <w:color w:val="1A1A1A"/>
              </w:rPr>
            </w:pPr>
            <w:r w:rsidRPr="00546E37">
              <w:rPr>
                <w:rFonts w:eastAsia="Times New Roman" w:cs="Arial"/>
                <w:b/>
                <w:color w:val="222222"/>
                <w:shd w:val="clear" w:color="auto" w:fill="FFFFFF"/>
              </w:rPr>
              <w:t>Account Feature</w:t>
            </w:r>
          </w:p>
        </w:tc>
        <w:tc>
          <w:tcPr>
            <w:tcW w:w="2340" w:type="dxa"/>
          </w:tcPr>
          <w:p w14:paraId="7A1D685E" w14:textId="731B4B81" w:rsidR="00910B92" w:rsidRPr="00AF5EA8" w:rsidRDefault="00910B92" w:rsidP="006E7980">
            <w:pPr>
              <w:jc w:val="center"/>
              <w:rPr>
                <w:rFonts w:cs="Arial"/>
                <w:b/>
                <w:color w:val="1A1A1A"/>
              </w:rPr>
            </w:pPr>
            <w:r w:rsidRPr="00AF5EA8">
              <w:rPr>
                <w:rFonts w:cs="Arial"/>
                <w:b/>
                <w:color w:val="1A1A1A"/>
              </w:rPr>
              <w:t>Standard tariff</w:t>
            </w:r>
          </w:p>
        </w:tc>
      </w:tr>
      <w:tr w:rsidR="007C64D8" w:rsidRPr="00AF5EA8" w14:paraId="6103E8D3" w14:textId="77777777" w:rsidTr="007C64D8">
        <w:trPr>
          <w:jc w:val="center"/>
        </w:trPr>
        <w:tc>
          <w:tcPr>
            <w:tcW w:w="4675" w:type="dxa"/>
          </w:tcPr>
          <w:p w14:paraId="299AE2DB" w14:textId="2239868C" w:rsidR="00910B92" w:rsidRPr="00AF5EA8" w:rsidRDefault="006B6D8A" w:rsidP="00F665DE">
            <w:pPr>
              <w:rPr>
                <w:rFonts w:cs="Arial"/>
                <w:color w:val="1A1A1A"/>
              </w:rPr>
            </w:pPr>
            <w:r w:rsidRPr="00AF5EA8">
              <w:rPr>
                <w:rFonts w:cs="Arial"/>
                <w:color w:val="1A1A1A"/>
              </w:rPr>
              <w:t>Automated payments (incoming or outgoing)</w:t>
            </w:r>
          </w:p>
        </w:tc>
        <w:tc>
          <w:tcPr>
            <w:tcW w:w="2340" w:type="dxa"/>
          </w:tcPr>
          <w:p w14:paraId="35FDB48A" w14:textId="53E4797D" w:rsidR="00910B92" w:rsidRPr="00AF5EA8" w:rsidRDefault="006B6D8A" w:rsidP="00F665DE">
            <w:pPr>
              <w:rPr>
                <w:rFonts w:cs="Arial"/>
                <w:color w:val="1A1A1A"/>
              </w:rPr>
            </w:pPr>
            <w:r w:rsidRPr="00AF5EA8">
              <w:rPr>
                <w:rFonts w:cs="Arial"/>
                <w:color w:val="1A1A1A"/>
              </w:rPr>
              <w:t>£0.35 per item</w:t>
            </w:r>
          </w:p>
        </w:tc>
      </w:tr>
      <w:tr w:rsidR="007C64D8" w:rsidRPr="00AF5EA8" w14:paraId="6B513705" w14:textId="77777777" w:rsidTr="007C64D8">
        <w:trPr>
          <w:jc w:val="center"/>
        </w:trPr>
        <w:tc>
          <w:tcPr>
            <w:tcW w:w="4675" w:type="dxa"/>
          </w:tcPr>
          <w:p w14:paraId="6E07C68F" w14:textId="53EC315A" w:rsidR="00910B92" w:rsidRPr="00AF5EA8" w:rsidRDefault="006B6D8A" w:rsidP="00F665DE">
            <w:pPr>
              <w:rPr>
                <w:rFonts w:cs="Arial"/>
                <w:color w:val="1A1A1A"/>
              </w:rPr>
            </w:pPr>
            <w:r w:rsidRPr="00AF5EA8">
              <w:rPr>
                <w:rFonts w:cs="Arial"/>
                <w:color w:val="1A1A1A"/>
              </w:rPr>
              <w:t>Cash handling (in/out)</w:t>
            </w:r>
          </w:p>
        </w:tc>
        <w:tc>
          <w:tcPr>
            <w:tcW w:w="2340" w:type="dxa"/>
          </w:tcPr>
          <w:p w14:paraId="3B5948F8" w14:textId="7F158F7E" w:rsidR="00910B92" w:rsidRPr="00AF5EA8" w:rsidRDefault="006B6D8A" w:rsidP="00F665DE">
            <w:pPr>
              <w:rPr>
                <w:rFonts w:cs="Arial"/>
                <w:color w:val="1A1A1A"/>
              </w:rPr>
            </w:pPr>
            <w:r w:rsidRPr="00AF5EA8">
              <w:rPr>
                <w:rFonts w:cs="Arial"/>
                <w:color w:val="1A1A1A"/>
              </w:rPr>
              <w:t>£0.70 per £100</w:t>
            </w:r>
          </w:p>
        </w:tc>
      </w:tr>
      <w:tr w:rsidR="007C64D8" w:rsidRPr="00AF5EA8" w14:paraId="75D30609" w14:textId="77777777" w:rsidTr="007C64D8">
        <w:trPr>
          <w:jc w:val="center"/>
        </w:trPr>
        <w:tc>
          <w:tcPr>
            <w:tcW w:w="4675" w:type="dxa"/>
          </w:tcPr>
          <w:p w14:paraId="7E22ADF0" w14:textId="272E34FF" w:rsidR="006B6D8A" w:rsidRPr="00AF5EA8" w:rsidRDefault="00C73612" w:rsidP="00F665DE">
            <w:pPr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 xml:space="preserve">Manual Items (e.g. </w:t>
            </w:r>
            <w:r w:rsidR="006B6D8A" w:rsidRPr="00AF5EA8">
              <w:rPr>
                <w:rFonts w:cs="Arial"/>
                <w:color w:val="1A1A1A"/>
              </w:rPr>
              <w:t>Cheques</w:t>
            </w:r>
            <w:r w:rsidR="00121975">
              <w:rPr>
                <w:rFonts w:cs="Arial"/>
                <w:color w:val="1A1A1A"/>
              </w:rPr>
              <w:t>)</w:t>
            </w:r>
          </w:p>
        </w:tc>
        <w:tc>
          <w:tcPr>
            <w:tcW w:w="2340" w:type="dxa"/>
          </w:tcPr>
          <w:p w14:paraId="1377CBD2" w14:textId="32B3D24F" w:rsidR="006B6D8A" w:rsidRPr="00AF5EA8" w:rsidRDefault="00121975" w:rsidP="00F665DE">
            <w:pPr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£0.70 per item</w:t>
            </w:r>
          </w:p>
        </w:tc>
      </w:tr>
    </w:tbl>
    <w:p w14:paraId="56C3EA53" w14:textId="77777777" w:rsidR="00910B92" w:rsidRPr="00AF5EA8" w:rsidRDefault="00910B92" w:rsidP="00F665DE">
      <w:pPr>
        <w:rPr>
          <w:rFonts w:cs="Arial"/>
          <w:color w:val="1A1A1A"/>
        </w:rPr>
      </w:pPr>
    </w:p>
    <w:p w14:paraId="13E66B6C" w14:textId="4AC8BAFA" w:rsidR="00546E37" w:rsidRPr="00AF5EA8" w:rsidRDefault="006B6D8A">
      <w:pPr>
        <w:rPr>
          <w:rFonts w:cs="Arial"/>
          <w:color w:val="1A1A1A"/>
        </w:rPr>
      </w:pPr>
      <w:r w:rsidRPr="00AF5EA8">
        <w:rPr>
          <w:rFonts w:cs="Arial"/>
          <w:color w:val="1A1A1A"/>
        </w:rPr>
        <w:t>Summary:</w:t>
      </w:r>
    </w:p>
    <w:p w14:paraId="33E19E74" w14:textId="77777777" w:rsidR="00F665DE" w:rsidRPr="00AF5EA8" w:rsidRDefault="00F665DE">
      <w:pPr>
        <w:rPr>
          <w:rFonts w:cs="Arial"/>
          <w:color w:val="1A1A1A"/>
        </w:rPr>
      </w:pPr>
    </w:p>
    <w:p w14:paraId="1CA629F5" w14:textId="0FC1FB2F" w:rsidR="00F665DE" w:rsidRPr="00AF5EA8" w:rsidRDefault="00546E37" w:rsidP="00AF5EA8">
      <w:pPr>
        <w:pStyle w:val="ListParagraph"/>
        <w:numPr>
          <w:ilvl w:val="0"/>
          <w:numId w:val="14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>Potentially completely free everyda</w:t>
      </w:r>
      <w:r w:rsidR="006E7980" w:rsidRPr="00AF5EA8">
        <w:rPr>
          <w:rFonts w:cs="Arial"/>
          <w:color w:val="1A1A1A"/>
        </w:rPr>
        <w:t>y banking for eligible accounts</w:t>
      </w:r>
      <w:r w:rsidRPr="00AF5EA8">
        <w:rPr>
          <w:rFonts w:cs="Arial"/>
          <w:color w:val="1A1A1A"/>
        </w:rPr>
        <w:t xml:space="preserve"> (&lt;£100k turnover)</w:t>
      </w:r>
      <w:r w:rsidR="00AF5EA8">
        <w:rPr>
          <w:rFonts w:cs="Arial"/>
          <w:color w:val="1A1A1A"/>
        </w:rPr>
        <w:t>.</w:t>
      </w:r>
      <w:r w:rsidRPr="00AF5EA8">
        <w:rPr>
          <w:rFonts w:cs="Arial"/>
          <w:color w:val="1A1A1A"/>
        </w:rPr>
        <w:t xml:space="preserve"> </w:t>
      </w:r>
      <w:r w:rsidR="00F665DE" w:rsidRPr="00AF5EA8">
        <w:rPr>
          <w:rFonts w:cs="Arial"/>
          <w:color w:val="1A1A1A"/>
        </w:rPr>
        <w:t xml:space="preserve"> </w:t>
      </w:r>
    </w:p>
    <w:p w14:paraId="148CA7B8" w14:textId="3DD61CB4" w:rsidR="00F665DE" w:rsidRPr="00AF5EA8" w:rsidRDefault="00546E37" w:rsidP="00AF5EA8">
      <w:pPr>
        <w:pStyle w:val="ListParagraph"/>
        <w:numPr>
          <w:ilvl w:val="0"/>
          <w:numId w:val="14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>No fixed</w:t>
      </w:r>
      <w:r w:rsidR="00AF5EA8">
        <w:rPr>
          <w:rFonts w:cs="Arial"/>
          <w:color w:val="1A1A1A"/>
        </w:rPr>
        <w:t xml:space="preserve"> monthly fee under free banking.</w:t>
      </w:r>
    </w:p>
    <w:p w14:paraId="0D30109D" w14:textId="3D0E3C4A" w:rsidR="00F665DE" w:rsidRPr="00AF5EA8" w:rsidRDefault="00546E37" w:rsidP="00AF5EA8">
      <w:pPr>
        <w:pStyle w:val="ListParagraph"/>
        <w:numPr>
          <w:ilvl w:val="0"/>
          <w:numId w:val="14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>Requ</w:t>
      </w:r>
      <w:r w:rsidR="006E7980" w:rsidRPr="00AF5EA8">
        <w:rPr>
          <w:rFonts w:cs="Arial"/>
          <w:color w:val="1A1A1A"/>
        </w:rPr>
        <w:t xml:space="preserve">ires a NatWest relationship. We could argue this </w:t>
      </w:r>
      <w:r w:rsidR="00AF5EA8">
        <w:rPr>
          <w:rFonts w:cs="Arial"/>
          <w:color w:val="1A1A1A"/>
        </w:rPr>
        <w:t>criterion is met, since</w:t>
      </w:r>
      <w:r w:rsidR="006E7980" w:rsidRPr="00AF5EA8">
        <w:rPr>
          <w:rFonts w:cs="Arial"/>
          <w:color w:val="1A1A1A"/>
        </w:rPr>
        <w:t xml:space="preserve"> some Parishes and Deaneries already bank with NatWest.</w:t>
      </w:r>
      <w:r w:rsidRPr="00AF5EA8">
        <w:rPr>
          <w:rFonts w:cs="Arial"/>
          <w:color w:val="1A1A1A"/>
        </w:rPr>
        <w:t xml:space="preserve">  </w:t>
      </w:r>
    </w:p>
    <w:p w14:paraId="06CD9DE5" w14:textId="662BA771" w:rsidR="00546E37" w:rsidRPr="00AF5EA8" w:rsidRDefault="00546E37" w:rsidP="00AF5EA8">
      <w:pPr>
        <w:pStyle w:val="ListParagraph"/>
        <w:numPr>
          <w:ilvl w:val="0"/>
          <w:numId w:val="14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>If eligibility lapses, s</w:t>
      </w:r>
      <w:r w:rsidR="006E7980" w:rsidRPr="00AF5EA8">
        <w:rPr>
          <w:rFonts w:cs="Arial"/>
          <w:color w:val="1A1A1A"/>
        </w:rPr>
        <w:t>tandard business charges apply</w:t>
      </w:r>
      <w:r w:rsidR="00AF5EA8">
        <w:rPr>
          <w:rFonts w:cs="Arial"/>
          <w:color w:val="1A1A1A"/>
        </w:rPr>
        <w:t xml:space="preserve"> (see table above)</w:t>
      </w:r>
      <w:r w:rsidR="006E7980" w:rsidRPr="00AF5EA8">
        <w:rPr>
          <w:rFonts w:cs="Arial"/>
          <w:color w:val="1A1A1A"/>
        </w:rPr>
        <w:t>.</w:t>
      </w:r>
      <w:r w:rsidRPr="00AF5EA8">
        <w:rPr>
          <w:rFonts w:cs="Arial"/>
          <w:color w:val="1A1A1A"/>
        </w:rPr>
        <w:t xml:space="preserve"> </w:t>
      </w:r>
    </w:p>
    <w:p w14:paraId="3F42D2BD" w14:textId="77777777" w:rsidR="00546E37" w:rsidRPr="00AF5EA8" w:rsidRDefault="00546E37">
      <w:pPr>
        <w:rPr>
          <w:rFonts w:cs="Arial"/>
          <w:color w:val="1A1A1A"/>
        </w:rPr>
      </w:pPr>
    </w:p>
    <w:p w14:paraId="2B535AB5" w14:textId="634C670C" w:rsidR="006B6D8A" w:rsidRPr="000C3969" w:rsidRDefault="006E7980" w:rsidP="006B6D8A">
      <w:pPr>
        <w:rPr>
          <w:rFonts w:cs="Arial"/>
          <w:b/>
          <w:color w:val="1A1A1A"/>
        </w:rPr>
      </w:pPr>
      <w:r w:rsidRPr="000C3969">
        <w:rPr>
          <w:rFonts w:cs="Arial"/>
          <w:b/>
          <w:color w:val="1A1A1A"/>
        </w:rPr>
        <w:t>2.3) The Co-operative Bank</w:t>
      </w:r>
      <w:r w:rsidR="00546E37" w:rsidRPr="000C3969">
        <w:rPr>
          <w:rFonts w:cs="Arial"/>
          <w:b/>
          <w:color w:val="1A1A1A"/>
        </w:rPr>
        <w:t xml:space="preserve"> </w:t>
      </w:r>
    </w:p>
    <w:p w14:paraId="1A326706" w14:textId="77777777" w:rsidR="006B6D8A" w:rsidRPr="00AF5EA8" w:rsidRDefault="006B6D8A" w:rsidP="006B6D8A">
      <w:pPr>
        <w:rPr>
          <w:rFonts w:cs="Arial"/>
          <w:color w:val="1A1A1A"/>
        </w:rPr>
      </w:pPr>
    </w:p>
    <w:p w14:paraId="4A760F90" w14:textId="1A0033FB" w:rsidR="009238B6" w:rsidRPr="00AF5EA8" w:rsidRDefault="006B6D8A" w:rsidP="009238B6">
      <w:p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The Co-op Bank operates a </w:t>
      </w:r>
      <w:r w:rsidR="00546E37" w:rsidRPr="00AF5EA8">
        <w:rPr>
          <w:rFonts w:cs="Arial"/>
          <w:color w:val="1A1A1A"/>
        </w:rPr>
        <w:t>Charity &amp; Community Bank Account (“Comm</w:t>
      </w:r>
      <w:r w:rsidR="00F665DE" w:rsidRPr="00AF5EA8">
        <w:rPr>
          <w:rFonts w:cs="Arial"/>
          <w:color w:val="1A1A1A"/>
        </w:rPr>
        <w:t>unity Directplus”)</w:t>
      </w:r>
      <w:r w:rsidR="006E7980" w:rsidRPr="00AF5EA8">
        <w:rPr>
          <w:rFonts w:cs="Arial"/>
          <w:color w:val="1A1A1A"/>
        </w:rPr>
        <w:t xml:space="preserve">, which covers </w:t>
      </w:r>
      <w:r w:rsidR="00546E37" w:rsidRPr="00AF5EA8">
        <w:rPr>
          <w:rFonts w:cs="Arial"/>
          <w:color w:val="1A1A1A"/>
        </w:rPr>
        <w:t>Registered charities, co-operatives, community benefit societies, CICs, credit unions</w:t>
      </w:r>
      <w:r w:rsidR="000C3969">
        <w:rPr>
          <w:rFonts w:cs="Arial"/>
          <w:color w:val="1A1A1A"/>
        </w:rPr>
        <w:t>.</w:t>
      </w:r>
      <w:r w:rsidR="00546E37" w:rsidRPr="00AF5EA8">
        <w:rPr>
          <w:rFonts w:cs="Arial"/>
          <w:color w:val="1A1A1A"/>
        </w:rPr>
        <w:t xml:space="preserve"> </w:t>
      </w:r>
    </w:p>
    <w:p w14:paraId="4C110712" w14:textId="77777777" w:rsidR="006E7980" w:rsidRPr="00AF5EA8" w:rsidRDefault="006E7980" w:rsidP="009238B6">
      <w:pPr>
        <w:rPr>
          <w:rFonts w:cs="Arial"/>
          <w:color w:val="1A1A1A"/>
        </w:rPr>
      </w:pPr>
    </w:p>
    <w:p w14:paraId="1ACCD18E" w14:textId="13A5579D" w:rsidR="006B6D8A" w:rsidRPr="00AF5EA8" w:rsidRDefault="006E7980" w:rsidP="006B6D8A">
      <w:p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For free banking, </w:t>
      </w:r>
      <w:r w:rsidR="00546E37" w:rsidRPr="00AF5EA8">
        <w:rPr>
          <w:rFonts w:cs="Arial"/>
          <w:color w:val="1A1A1A"/>
        </w:rPr>
        <w:t>Specific eligibility criteria</w:t>
      </w:r>
      <w:r w:rsidRPr="00AF5EA8">
        <w:rPr>
          <w:rFonts w:cs="Arial"/>
          <w:color w:val="1A1A1A"/>
        </w:rPr>
        <w:t xml:space="preserve"> </w:t>
      </w:r>
      <w:r w:rsidR="00546E37" w:rsidRPr="00AF5EA8">
        <w:rPr>
          <w:rFonts w:cs="Arial"/>
          <w:color w:val="1A1A1A"/>
        </w:rPr>
        <w:t>must not exceed</w:t>
      </w:r>
      <w:r w:rsidR="000C3969">
        <w:rPr>
          <w:rFonts w:cs="Arial"/>
          <w:color w:val="1A1A1A"/>
        </w:rPr>
        <w:t xml:space="preserve"> the following:</w:t>
      </w:r>
      <w:r w:rsidR="00546E37" w:rsidRPr="00AF5EA8">
        <w:rPr>
          <w:rFonts w:cs="Arial"/>
          <w:color w:val="1A1A1A"/>
        </w:rPr>
        <w:t xml:space="preserve"> </w:t>
      </w:r>
    </w:p>
    <w:p w14:paraId="17FCFF28" w14:textId="77777777" w:rsidR="006E7980" w:rsidRPr="00AF5EA8" w:rsidRDefault="006E7980" w:rsidP="006B6D8A">
      <w:pPr>
        <w:rPr>
          <w:rFonts w:cs="Arial"/>
          <w:color w:val="1A1A1A"/>
        </w:rPr>
      </w:pPr>
    </w:p>
    <w:p w14:paraId="69EFE788" w14:textId="2FFE36E0" w:rsidR="006B6D8A" w:rsidRPr="000C3969" w:rsidRDefault="006B6D8A" w:rsidP="000C3969">
      <w:pPr>
        <w:pStyle w:val="ListParagraph"/>
        <w:numPr>
          <w:ilvl w:val="0"/>
          <w:numId w:val="15"/>
        </w:numPr>
        <w:rPr>
          <w:rFonts w:eastAsia="Times New Roman" w:cs="Arial"/>
          <w:color w:val="222222"/>
          <w:shd w:val="clear" w:color="auto" w:fill="FFFFFF"/>
        </w:rPr>
      </w:pPr>
      <w:r w:rsidRPr="000C3969">
        <w:rPr>
          <w:rFonts w:cs="Arial"/>
          <w:color w:val="1A1A1A"/>
        </w:rPr>
        <w:t xml:space="preserve">annual turnover </w:t>
      </w:r>
      <w:r w:rsidRPr="000C3969">
        <w:rPr>
          <w:rFonts w:eastAsia="Times New Roman" w:cs="Arial"/>
          <w:color w:val="222222"/>
          <w:shd w:val="clear" w:color="auto" w:fill="FFFFFF"/>
        </w:rPr>
        <w:t xml:space="preserve">£2m </w:t>
      </w:r>
    </w:p>
    <w:p w14:paraId="42333F5E" w14:textId="789214EB" w:rsidR="006B6D8A" w:rsidRPr="000C3969" w:rsidRDefault="006B6D8A" w:rsidP="000C3969">
      <w:pPr>
        <w:pStyle w:val="ListParagraph"/>
        <w:numPr>
          <w:ilvl w:val="0"/>
          <w:numId w:val="15"/>
        </w:numPr>
        <w:rPr>
          <w:rFonts w:eastAsia="Times New Roman" w:cs="Times New Roman"/>
        </w:rPr>
      </w:pPr>
      <w:r w:rsidRPr="000C3969">
        <w:rPr>
          <w:rFonts w:eastAsia="Times New Roman" w:cs="Arial"/>
          <w:color w:val="222222"/>
          <w:shd w:val="clear" w:color="auto" w:fill="FFFFFF"/>
        </w:rPr>
        <w:t>cash deposits</w:t>
      </w:r>
      <w:r w:rsidRPr="000C3969">
        <w:rPr>
          <w:rFonts w:eastAsia="Times New Roman" w:cs="Arial"/>
          <w:color w:val="222222"/>
          <w:shd w:val="clear" w:color="auto" w:fill="FFFFFF"/>
        </w:rPr>
        <w:t xml:space="preserve"> </w:t>
      </w:r>
      <w:r w:rsidRPr="000C3969">
        <w:rPr>
          <w:rFonts w:eastAsia="Times New Roman" w:cs="Arial"/>
          <w:color w:val="222222"/>
          <w:shd w:val="clear" w:color="auto" w:fill="FFFFFF"/>
        </w:rPr>
        <w:t>£100k</w:t>
      </w:r>
      <w:r w:rsidRPr="000C3969">
        <w:rPr>
          <w:rFonts w:eastAsia="Times New Roman" w:cs="Arial"/>
          <w:color w:val="222222"/>
          <w:shd w:val="clear" w:color="auto" w:fill="FFFFFF"/>
        </w:rPr>
        <w:t xml:space="preserve"> </w:t>
      </w:r>
      <w:r w:rsidRPr="000C3969">
        <w:rPr>
          <w:rFonts w:eastAsia="Times New Roman" w:cs="Arial"/>
          <w:color w:val="222222"/>
          <w:shd w:val="clear" w:color="auto" w:fill="FFFFFF"/>
        </w:rPr>
        <w:t>per year</w:t>
      </w:r>
    </w:p>
    <w:p w14:paraId="019B76CE" w14:textId="17396F96" w:rsidR="00546E37" w:rsidRPr="000C3969" w:rsidRDefault="006B6D8A" w:rsidP="000C3969">
      <w:pPr>
        <w:pStyle w:val="ListParagraph"/>
        <w:numPr>
          <w:ilvl w:val="0"/>
          <w:numId w:val="15"/>
        </w:numPr>
        <w:rPr>
          <w:rFonts w:cs="Arial"/>
          <w:color w:val="1A1A1A"/>
        </w:rPr>
      </w:pPr>
      <w:r w:rsidRPr="000C3969">
        <w:rPr>
          <w:rFonts w:eastAsia="Times New Roman" w:cs="Arial"/>
          <w:color w:val="222222"/>
          <w:shd w:val="clear" w:color="auto" w:fill="FFFFFF"/>
        </w:rPr>
        <w:t>cheques</w:t>
      </w:r>
      <w:r w:rsidRPr="000C3969">
        <w:rPr>
          <w:rFonts w:eastAsia="Times New Roman" w:cs="Arial"/>
          <w:color w:val="222222"/>
          <w:shd w:val="clear" w:color="auto" w:fill="FFFFFF"/>
        </w:rPr>
        <w:t xml:space="preserve"> </w:t>
      </w:r>
      <w:r w:rsidRPr="000C3969">
        <w:rPr>
          <w:rFonts w:eastAsia="Times New Roman" w:cs="Arial"/>
          <w:color w:val="222222"/>
          <w:shd w:val="clear" w:color="auto" w:fill="FFFFFF"/>
        </w:rPr>
        <w:t>5,000</w:t>
      </w:r>
      <w:r w:rsidRPr="000C3969">
        <w:rPr>
          <w:rFonts w:eastAsia="Times New Roman" w:cs="Arial"/>
          <w:color w:val="222222"/>
          <w:shd w:val="clear" w:color="auto" w:fill="FFFFFF"/>
        </w:rPr>
        <w:t xml:space="preserve"> per year</w:t>
      </w:r>
    </w:p>
    <w:p w14:paraId="01FABEF1" w14:textId="77777777" w:rsidR="00546E37" w:rsidRPr="00AF5EA8" w:rsidRDefault="00546E37">
      <w:pPr>
        <w:rPr>
          <w:rFonts w:cs="Arial"/>
          <w:color w:val="1A1A1A"/>
        </w:rPr>
      </w:pPr>
    </w:p>
    <w:p w14:paraId="09B3B786" w14:textId="048CAB94" w:rsidR="00546E37" w:rsidRPr="00AF5EA8" w:rsidRDefault="00546E37">
      <w:pPr>
        <w:rPr>
          <w:rFonts w:cs="Arial"/>
          <w:color w:val="1A1A1A"/>
        </w:rPr>
      </w:pPr>
      <w:r w:rsidRPr="00AF5EA8">
        <w:rPr>
          <w:rFonts w:cs="Arial"/>
          <w:color w:val="1A1A1A"/>
        </w:rPr>
        <w:t>Fees &amp; Charges</w:t>
      </w:r>
      <w:r w:rsidR="006B6D8A" w:rsidRPr="00AF5EA8">
        <w:rPr>
          <w:rFonts w:cs="Arial"/>
          <w:color w:val="1A1A1A"/>
        </w:rPr>
        <w:t xml:space="preserve"> if </w:t>
      </w:r>
      <w:r w:rsidR="006E7980" w:rsidRPr="00AF5EA8">
        <w:rPr>
          <w:rFonts w:cs="Arial"/>
          <w:color w:val="1A1A1A"/>
        </w:rPr>
        <w:t xml:space="preserve">above </w:t>
      </w:r>
      <w:r w:rsidR="006B6D8A" w:rsidRPr="00AF5EA8">
        <w:rPr>
          <w:rFonts w:cs="Arial"/>
          <w:color w:val="1A1A1A"/>
        </w:rPr>
        <w:t xml:space="preserve">eligibility criteria </w:t>
      </w:r>
      <w:r w:rsidR="006E7980" w:rsidRPr="00AF5EA8">
        <w:rPr>
          <w:rFonts w:cs="Arial"/>
          <w:color w:val="1A1A1A"/>
        </w:rPr>
        <w:t xml:space="preserve">are </w:t>
      </w:r>
      <w:r w:rsidR="006B6D8A" w:rsidRPr="00AF5EA8">
        <w:rPr>
          <w:rFonts w:cs="Arial"/>
          <w:color w:val="1A1A1A"/>
        </w:rPr>
        <w:t>exceeded:</w:t>
      </w:r>
    </w:p>
    <w:p w14:paraId="117A9CD8" w14:textId="77777777" w:rsidR="006B6D8A" w:rsidRPr="00AF5EA8" w:rsidRDefault="006B6D8A">
      <w:pPr>
        <w:rPr>
          <w:rFonts w:cs="Arial"/>
          <w:color w:val="1A1A1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2070"/>
      </w:tblGrid>
      <w:tr w:rsidR="007C64D8" w:rsidRPr="00AF5EA8" w14:paraId="5D909124" w14:textId="77777777" w:rsidTr="007C64D8">
        <w:trPr>
          <w:jc w:val="center"/>
        </w:trPr>
        <w:tc>
          <w:tcPr>
            <w:tcW w:w="3505" w:type="dxa"/>
          </w:tcPr>
          <w:p w14:paraId="57A4B3CB" w14:textId="6FC18475" w:rsidR="006B6D8A" w:rsidRPr="00AF5EA8" w:rsidRDefault="006B6D8A" w:rsidP="006E7980">
            <w:pPr>
              <w:jc w:val="center"/>
              <w:rPr>
                <w:rFonts w:cs="Arial"/>
                <w:b/>
                <w:color w:val="1A1A1A"/>
              </w:rPr>
            </w:pPr>
            <w:r w:rsidRPr="00546E37">
              <w:rPr>
                <w:rFonts w:eastAsia="Times New Roman" w:cs="Arial"/>
                <w:b/>
                <w:color w:val="222222"/>
                <w:shd w:val="clear" w:color="auto" w:fill="FFFFFF"/>
              </w:rPr>
              <w:t>Account Feature</w:t>
            </w:r>
          </w:p>
        </w:tc>
        <w:tc>
          <w:tcPr>
            <w:tcW w:w="2070" w:type="dxa"/>
          </w:tcPr>
          <w:p w14:paraId="649259EC" w14:textId="7D3A1EC9" w:rsidR="006B6D8A" w:rsidRPr="00AF5EA8" w:rsidRDefault="006B6D8A" w:rsidP="006E7980">
            <w:pPr>
              <w:jc w:val="center"/>
              <w:rPr>
                <w:rFonts w:cs="Arial"/>
                <w:b/>
                <w:color w:val="1A1A1A"/>
              </w:rPr>
            </w:pPr>
            <w:r w:rsidRPr="00AF5EA8">
              <w:rPr>
                <w:rFonts w:cs="Arial"/>
                <w:b/>
                <w:color w:val="1A1A1A"/>
              </w:rPr>
              <w:t>Standard tariff</w:t>
            </w:r>
          </w:p>
        </w:tc>
      </w:tr>
      <w:tr w:rsidR="007C64D8" w:rsidRPr="00AF5EA8" w14:paraId="1C2075ED" w14:textId="77777777" w:rsidTr="007C64D8">
        <w:trPr>
          <w:jc w:val="center"/>
        </w:trPr>
        <w:tc>
          <w:tcPr>
            <w:tcW w:w="3505" w:type="dxa"/>
          </w:tcPr>
          <w:p w14:paraId="55E0B181" w14:textId="65C5B5A4" w:rsidR="006B6D8A" w:rsidRPr="00AF5EA8" w:rsidRDefault="006B6D8A">
            <w:pPr>
              <w:rPr>
                <w:rFonts w:cs="Arial"/>
                <w:color w:val="1A1A1A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Monthly account fee</w:t>
            </w:r>
          </w:p>
        </w:tc>
        <w:tc>
          <w:tcPr>
            <w:tcW w:w="2070" w:type="dxa"/>
          </w:tcPr>
          <w:p w14:paraId="28067E1A" w14:textId="7B0BC952" w:rsidR="006B6D8A" w:rsidRPr="00AF5EA8" w:rsidRDefault="006B6D8A">
            <w:pPr>
              <w:rPr>
                <w:rFonts w:cs="Arial"/>
                <w:color w:val="1A1A1A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£0</w:t>
            </w:r>
          </w:p>
        </w:tc>
      </w:tr>
      <w:tr w:rsidR="007C64D8" w:rsidRPr="00AF5EA8" w14:paraId="6DFFA475" w14:textId="77777777" w:rsidTr="007C64D8">
        <w:trPr>
          <w:jc w:val="center"/>
        </w:trPr>
        <w:tc>
          <w:tcPr>
            <w:tcW w:w="3505" w:type="dxa"/>
          </w:tcPr>
          <w:p w14:paraId="2458CDB5" w14:textId="3CBF9061" w:rsidR="006B6D8A" w:rsidRPr="00AF5EA8" w:rsidRDefault="006B6D8A">
            <w:pPr>
              <w:rPr>
                <w:rFonts w:cs="Arial"/>
                <w:color w:val="1A1A1A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Automated credits/debits</w:t>
            </w:r>
          </w:p>
        </w:tc>
        <w:tc>
          <w:tcPr>
            <w:tcW w:w="2070" w:type="dxa"/>
          </w:tcPr>
          <w:p w14:paraId="7DD84C9A" w14:textId="564A6F49" w:rsidR="006B6D8A" w:rsidRPr="00AF5EA8" w:rsidRDefault="006B6D8A">
            <w:pPr>
              <w:rPr>
                <w:rFonts w:cs="Arial"/>
                <w:color w:val="1A1A1A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Free</w:t>
            </w:r>
          </w:p>
        </w:tc>
      </w:tr>
      <w:tr w:rsidR="007C64D8" w:rsidRPr="00AF5EA8" w14:paraId="20E3C67A" w14:textId="77777777" w:rsidTr="007C64D8">
        <w:trPr>
          <w:jc w:val="center"/>
        </w:trPr>
        <w:tc>
          <w:tcPr>
            <w:tcW w:w="3505" w:type="dxa"/>
          </w:tcPr>
          <w:p w14:paraId="035507BB" w14:textId="26B1FEC8" w:rsidR="006B6D8A" w:rsidRPr="00AF5EA8" w:rsidRDefault="006B6D8A">
            <w:pPr>
              <w:rPr>
                <w:rFonts w:cs="Arial"/>
                <w:color w:val="1A1A1A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Debit card, ATM withdrawals</w:t>
            </w:r>
          </w:p>
        </w:tc>
        <w:tc>
          <w:tcPr>
            <w:tcW w:w="2070" w:type="dxa"/>
          </w:tcPr>
          <w:p w14:paraId="701641B6" w14:textId="2A54D6B3" w:rsidR="006B6D8A" w:rsidRPr="007C64D8" w:rsidRDefault="006B6D8A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 xml:space="preserve">Free </w:t>
            </w:r>
          </w:p>
        </w:tc>
      </w:tr>
      <w:tr w:rsidR="007C64D8" w:rsidRPr="00AF5EA8" w14:paraId="180EFE5F" w14:textId="77777777" w:rsidTr="007C64D8">
        <w:trPr>
          <w:jc w:val="center"/>
        </w:trPr>
        <w:tc>
          <w:tcPr>
            <w:tcW w:w="3505" w:type="dxa"/>
          </w:tcPr>
          <w:p w14:paraId="288B3CD9" w14:textId="1241388A" w:rsidR="006B6D8A" w:rsidRPr="00AF5EA8" w:rsidRDefault="006B6D8A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Manual credits, cash paid in/out</w:t>
            </w:r>
          </w:p>
        </w:tc>
        <w:tc>
          <w:tcPr>
            <w:tcW w:w="2070" w:type="dxa"/>
          </w:tcPr>
          <w:p w14:paraId="00AA15B2" w14:textId="560D2EB9" w:rsidR="006B6D8A" w:rsidRPr="00AF5EA8" w:rsidRDefault="006B6D8A" w:rsidP="006B6D8A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Free</w:t>
            </w:r>
          </w:p>
        </w:tc>
      </w:tr>
      <w:tr w:rsidR="007C64D8" w:rsidRPr="00AF5EA8" w14:paraId="0C26FB94" w14:textId="77777777" w:rsidTr="007C64D8">
        <w:trPr>
          <w:jc w:val="center"/>
        </w:trPr>
        <w:tc>
          <w:tcPr>
            <w:tcW w:w="3505" w:type="dxa"/>
          </w:tcPr>
          <w:p w14:paraId="4B6A204F" w14:textId="17AC1447" w:rsidR="006B6D8A" w:rsidRPr="00AF5EA8" w:rsidRDefault="006B6D8A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Cash exchanged</w:t>
            </w:r>
          </w:p>
        </w:tc>
        <w:tc>
          <w:tcPr>
            <w:tcW w:w="2070" w:type="dxa"/>
          </w:tcPr>
          <w:p w14:paraId="416649B8" w14:textId="13BD4CC0" w:rsidR="006B6D8A" w:rsidRPr="00AF5EA8" w:rsidRDefault="004B3531" w:rsidP="006B6D8A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 xml:space="preserve">£1.60 per £100 </w:t>
            </w:r>
          </w:p>
        </w:tc>
      </w:tr>
      <w:tr w:rsidR="007C64D8" w:rsidRPr="00AF5EA8" w14:paraId="228CE37E" w14:textId="77777777" w:rsidTr="007C64D8">
        <w:trPr>
          <w:jc w:val="center"/>
        </w:trPr>
        <w:tc>
          <w:tcPr>
            <w:tcW w:w="3505" w:type="dxa"/>
          </w:tcPr>
          <w:p w14:paraId="206A1875" w14:textId="5C14F203" w:rsidR="004B3531" w:rsidRPr="00AF5EA8" w:rsidRDefault="004B3531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>Cheques paid in/issued</w:t>
            </w:r>
          </w:p>
        </w:tc>
        <w:tc>
          <w:tcPr>
            <w:tcW w:w="2070" w:type="dxa"/>
          </w:tcPr>
          <w:p w14:paraId="2138FE9F" w14:textId="60360C4F" w:rsidR="004B3531" w:rsidRPr="00AF5EA8" w:rsidRDefault="004B3531" w:rsidP="004B3531">
            <w:pPr>
              <w:rPr>
                <w:rFonts w:eastAsia="Times New Roman" w:cs="Arial"/>
                <w:color w:val="222222"/>
                <w:shd w:val="clear" w:color="auto" w:fill="FFFFFF"/>
              </w:rPr>
            </w:pPr>
            <w:r w:rsidRPr="00546E37">
              <w:rPr>
                <w:rFonts w:eastAsia="Times New Roman" w:cs="Arial"/>
                <w:color w:val="222222"/>
                <w:shd w:val="clear" w:color="auto" w:fill="FFFFFF"/>
              </w:rPr>
              <w:t xml:space="preserve">Free </w:t>
            </w:r>
          </w:p>
        </w:tc>
      </w:tr>
    </w:tbl>
    <w:p w14:paraId="4F94C6EB" w14:textId="77777777" w:rsidR="006B6D8A" w:rsidRPr="00AF5EA8" w:rsidRDefault="006B6D8A">
      <w:pPr>
        <w:rPr>
          <w:rFonts w:cs="Arial"/>
          <w:color w:val="1A1A1A"/>
        </w:rPr>
      </w:pPr>
    </w:p>
    <w:p w14:paraId="41081B57" w14:textId="77777777" w:rsidR="009238B6" w:rsidRPr="00AF5EA8" w:rsidRDefault="00645842">
      <w:p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Summary:  </w:t>
      </w:r>
    </w:p>
    <w:p w14:paraId="67001B99" w14:textId="77777777" w:rsidR="001C0F44" w:rsidRPr="00AF5EA8" w:rsidRDefault="001C0F44">
      <w:pPr>
        <w:rPr>
          <w:rFonts w:cs="Arial"/>
          <w:color w:val="1A1A1A"/>
        </w:rPr>
      </w:pPr>
    </w:p>
    <w:p w14:paraId="7DA5B883" w14:textId="77777777" w:rsidR="009238B6" w:rsidRPr="00AF5EA8" w:rsidRDefault="00645842" w:rsidP="006E7980">
      <w:pPr>
        <w:pStyle w:val="ListParagraph"/>
        <w:numPr>
          <w:ilvl w:val="0"/>
          <w:numId w:val="12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Free banking on most everyday transactions across the board  </w:t>
      </w:r>
    </w:p>
    <w:p w14:paraId="13744E6E" w14:textId="77777777" w:rsidR="009238B6" w:rsidRPr="00AF5EA8" w:rsidRDefault="00645842" w:rsidP="006E7980">
      <w:pPr>
        <w:pStyle w:val="ListParagraph"/>
        <w:numPr>
          <w:ilvl w:val="0"/>
          <w:numId w:val="12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No monthly fee  </w:t>
      </w:r>
    </w:p>
    <w:p w14:paraId="04DE0665" w14:textId="77777777" w:rsidR="000429A6" w:rsidRPr="00AF5EA8" w:rsidRDefault="00645842" w:rsidP="006E7980">
      <w:pPr>
        <w:pStyle w:val="ListParagraph"/>
        <w:numPr>
          <w:ilvl w:val="0"/>
          <w:numId w:val="12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Cheques and cash handling are typically </w:t>
      </w:r>
      <w:r w:rsidR="001C0F44" w:rsidRPr="00AF5EA8">
        <w:rPr>
          <w:rFonts w:cs="Arial"/>
          <w:color w:val="1A1A1A"/>
        </w:rPr>
        <w:t>free (aside from exchanging cash</w:t>
      </w:r>
      <w:r w:rsidRPr="00AF5EA8">
        <w:rPr>
          <w:rFonts w:cs="Arial"/>
          <w:color w:val="1A1A1A"/>
        </w:rPr>
        <w:t xml:space="preserve">)  </w:t>
      </w:r>
    </w:p>
    <w:p w14:paraId="55DF1A15" w14:textId="54A7F10F" w:rsidR="00645842" w:rsidRPr="00AF5EA8" w:rsidRDefault="00645842" w:rsidP="006E7980">
      <w:pPr>
        <w:pStyle w:val="ListParagraph"/>
        <w:numPr>
          <w:ilvl w:val="0"/>
          <w:numId w:val="12"/>
        </w:numPr>
        <w:rPr>
          <w:rFonts w:cs="Arial"/>
          <w:color w:val="1A1A1A"/>
        </w:rPr>
      </w:pPr>
      <w:r w:rsidRPr="00AF5EA8">
        <w:rPr>
          <w:rFonts w:cs="Arial"/>
          <w:color w:val="1A1A1A"/>
        </w:rPr>
        <w:t xml:space="preserve">Some limits on deposit volumes </w:t>
      </w:r>
      <w:r w:rsidR="001C0F44" w:rsidRPr="00AF5EA8">
        <w:rPr>
          <w:rFonts w:cs="Arial"/>
          <w:color w:val="1A1A1A"/>
        </w:rPr>
        <w:t>or turnover may trigger review.</w:t>
      </w:r>
    </w:p>
    <w:p w14:paraId="5AFFF96A" w14:textId="77777777" w:rsidR="00645842" w:rsidRPr="00AF5EA8" w:rsidRDefault="00645842">
      <w:pPr>
        <w:rPr>
          <w:rFonts w:cs="Arial"/>
          <w:color w:val="1A1A1A"/>
        </w:rPr>
      </w:pPr>
    </w:p>
    <w:p w14:paraId="714CC672" w14:textId="7F5F2BF7" w:rsidR="00645842" w:rsidRPr="000C3969" w:rsidRDefault="000429A6" w:rsidP="000429A6">
      <w:pPr>
        <w:pStyle w:val="ListParagraph"/>
        <w:numPr>
          <w:ilvl w:val="0"/>
          <w:numId w:val="6"/>
        </w:numPr>
        <w:rPr>
          <w:b/>
        </w:rPr>
      </w:pPr>
      <w:r w:rsidRPr="000C3969">
        <w:rPr>
          <w:b/>
        </w:rPr>
        <w:t>Conclusion and Next Steps</w:t>
      </w:r>
    </w:p>
    <w:p w14:paraId="3ED152B8" w14:textId="77777777" w:rsidR="000429A6" w:rsidRPr="00AF5EA8" w:rsidRDefault="000429A6" w:rsidP="000429A6"/>
    <w:p w14:paraId="039759E4" w14:textId="1786B353" w:rsidR="000429A6" w:rsidRPr="00AF5EA8" w:rsidRDefault="000429A6" w:rsidP="000429A6">
      <w:r w:rsidRPr="00AF5EA8">
        <w:t>Those Parishes and Deaneries banking with L</w:t>
      </w:r>
      <w:r w:rsidR="00F44AA5">
        <w:t>loyds could potentially save £5,000</w:t>
      </w:r>
      <w:r w:rsidRPr="00AF5EA8">
        <w:t xml:space="preserve"> p.a. </w:t>
      </w:r>
      <w:r w:rsidR="00F44AA5">
        <w:t xml:space="preserve">plus </w:t>
      </w:r>
      <w:r w:rsidRPr="00AF5EA8">
        <w:t>across the Diocese by transferring to NatWest or Co-op. We appreciate this would involve some administration, like having to f</w:t>
      </w:r>
      <w:r w:rsidR="00104225" w:rsidRPr="00AF5EA8">
        <w:t>ill out application forms and record</w:t>
      </w:r>
      <w:r w:rsidRPr="00AF5EA8">
        <w:t xml:space="preserve"> new signatories.</w:t>
      </w:r>
    </w:p>
    <w:p w14:paraId="73A40940" w14:textId="77777777" w:rsidR="000429A6" w:rsidRPr="00AF5EA8" w:rsidRDefault="000429A6" w:rsidP="000429A6"/>
    <w:p w14:paraId="69B1855F" w14:textId="75846D40" w:rsidR="000429A6" w:rsidRPr="00AF5EA8" w:rsidRDefault="000429A6" w:rsidP="000429A6">
      <w:r w:rsidRPr="00AF5EA8">
        <w:t>Next Steps</w:t>
      </w:r>
      <w:r w:rsidR="007C64D8">
        <w:t>:</w:t>
      </w:r>
    </w:p>
    <w:p w14:paraId="5A567EBA" w14:textId="77777777" w:rsidR="000429A6" w:rsidRPr="00AF5EA8" w:rsidRDefault="000429A6" w:rsidP="000429A6"/>
    <w:p w14:paraId="51F0326D" w14:textId="6FCFF6E1" w:rsidR="000429A6" w:rsidRDefault="000429A6" w:rsidP="007C64D8">
      <w:pPr>
        <w:pStyle w:val="ListParagraph"/>
        <w:numPr>
          <w:ilvl w:val="0"/>
          <w:numId w:val="16"/>
        </w:numPr>
      </w:pPr>
      <w:r w:rsidRPr="00AF5EA8">
        <w:t xml:space="preserve">Confirm </w:t>
      </w:r>
      <w:r w:rsidR="00104225" w:rsidRPr="00AF5EA8">
        <w:t xml:space="preserve">from other Parish and Deanery users </w:t>
      </w:r>
      <w:r w:rsidRPr="00AF5EA8">
        <w:t>that the service</w:t>
      </w:r>
      <w:r w:rsidR="00487F05" w:rsidRPr="00AF5EA8">
        <w:t xml:space="preserve"> levels at NatWest and Co-op banks </w:t>
      </w:r>
      <w:r w:rsidR="00104225" w:rsidRPr="00AF5EA8">
        <w:t>at least match those of Lloyds Bank.</w:t>
      </w:r>
    </w:p>
    <w:p w14:paraId="0D178758" w14:textId="77777777" w:rsidR="000C3969" w:rsidRDefault="000C3969" w:rsidP="000429A6"/>
    <w:p w14:paraId="6A2785E8" w14:textId="77777777" w:rsidR="000C3969" w:rsidRPr="007C64D8" w:rsidRDefault="000C3969" w:rsidP="007C64D8">
      <w:pPr>
        <w:pStyle w:val="ListParagraph"/>
        <w:numPr>
          <w:ilvl w:val="0"/>
          <w:numId w:val="16"/>
        </w:numPr>
        <w:rPr>
          <w:rFonts w:cs="Arial"/>
          <w:color w:val="1A1A1A"/>
        </w:rPr>
      </w:pPr>
      <w:r w:rsidRPr="007C64D8">
        <w:rPr>
          <w:rFonts w:cs="Arial"/>
          <w:color w:val="1A1A1A"/>
        </w:rPr>
        <w:t xml:space="preserve">Confirm with </w:t>
      </w:r>
      <w:r w:rsidRPr="007C64D8">
        <w:rPr>
          <w:rFonts w:cs="Arial"/>
          <w:color w:val="1A1A1A"/>
        </w:rPr>
        <w:t>NatWe</w:t>
      </w:r>
      <w:r w:rsidRPr="007C64D8">
        <w:rPr>
          <w:rFonts w:cs="Arial"/>
          <w:color w:val="1A1A1A"/>
        </w:rPr>
        <w:t>st that existing relationship</w:t>
      </w:r>
      <w:r w:rsidRPr="007C64D8">
        <w:rPr>
          <w:rFonts w:cs="Arial"/>
          <w:color w:val="1A1A1A"/>
        </w:rPr>
        <w:t xml:space="preserve"> </w:t>
      </w:r>
      <w:r w:rsidRPr="007C64D8">
        <w:rPr>
          <w:rFonts w:cs="Arial"/>
          <w:color w:val="1A1A1A"/>
        </w:rPr>
        <w:t xml:space="preserve">of some Parishes and Deaneries </w:t>
      </w:r>
      <w:r w:rsidRPr="007C64D8">
        <w:rPr>
          <w:rFonts w:cs="Arial"/>
          <w:color w:val="1A1A1A"/>
        </w:rPr>
        <w:t>with NatWest</w:t>
      </w:r>
      <w:r w:rsidRPr="007C64D8">
        <w:rPr>
          <w:rFonts w:cs="Arial"/>
          <w:color w:val="1A1A1A"/>
        </w:rPr>
        <w:t xml:space="preserve"> fulfils their requirement for free banking</w:t>
      </w:r>
      <w:r w:rsidRPr="007C64D8">
        <w:rPr>
          <w:rFonts w:cs="Arial"/>
          <w:color w:val="1A1A1A"/>
        </w:rPr>
        <w:t xml:space="preserve">. </w:t>
      </w:r>
    </w:p>
    <w:p w14:paraId="53FAE585" w14:textId="77777777" w:rsidR="000C3969" w:rsidRDefault="000C3969" w:rsidP="000C3969">
      <w:pPr>
        <w:rPr>
          <w:rFonts w:cs="Arial"/>
          <w:color w:val="1A1A1A"/>
        </w:rPr>
      </w:pPr>
    </w:p>
    <w:p w14:paraId="67599EE4" w14:textId="77777777" w:rsidR="00200712" w:rsidRDefault="000C3969" w:rsidP="007C64D8">
      <w:pPr>
        <w:pStyle w:val="ListParagraph"/>
        <w:numPr>
          <w:ilvl w:val="0"/>
          <w:numId w:val="16"/>
        </w:numPr>
        <w:rPr>
          <w:rFonts w:cs="Arial"/>
          <w:color w:val="1A1A1A"/>
        </w:rPr>
      </w:pPr>
      <w:r w:rsidRPr="007C64D8">
        <w:rPr>
          <w:rFonts w:cs="Arial"/>
          <w:color w:val="1A1A1A"/>
        </w:rPr>
        <w:t xml:space="preserve">Circulate this Paper to </w:t>
      </w:r>
      <w:r w:rsidR="007C64D8" w:rsidRPr="007C64D8">
        <w:rPr>
          <w:rFonts w:cs="Arial"/>
          <w:color w:val="1A1A1A"/>
        </w:rPr>
        <w:t>Parish and Deanery Treasurers for comments and to gauge readiness to switch bank service provider from Lloyds Bank to NatWest Bank or Coop Bank</w:t>
      </w:r>
      <w:r w:rsidR="00F44AA5">
        <w:rPr>
          <w:rFonts w:cs="Arial"/>
          <w:color w:val="1A1A1A"/>
        </w:rPr>
        <w:t xml:space="preserve">. </w:t>
      </w:r>
    </w:p>
    <w:p w14:paraId="29513737" w14:textId="77777777" w:rsidR="00200712" w:rsidRPr="00200712" w:rsidRDefault="00200712" w:rsidP="00200712">
      <w:pPr>
        <w:rPr>
          <w:rFonts w:cs="Arial"/>
          <w:color w:val="1A1A1A"/>
        </w:rPr>
      </w:pPr>
    </w:p>
    <w:p w14:paraId="2D15DDA9" w14:textId="75FC3ECF" w:rsidR="000C3969" w:rsidRDefault="00F44AA5" w:rsidP="007C64D8">
      <w:pPr>
        <w:pStyle w:val="ListParagraph"/>
        <w:numPr>
          <w:ilvl w:val="0"/>
          <w:numId w:val="16"/>
        </w:numPr>
        <w:rPr>
          <w:rFonts w:cs="Arial"/>
          <w:color w:val="1A1A1A"/>
        </w:rPr>
      </w:pPr>
      <w:r>
        <w:rPr>
          <w:rFonts w:cs="Arial"/>
          <w:color w:val="1A1A1A"/>
        </w:rPr>
        <w:t xml:space="preserve">Should we broaden the analysis to include HSBC and Barclays, who do not appear to feature </w:t>
      </w:r>
      <w:r w:rsidR="00200712">
        <w:rPr>
          <w:rFonts w:cs="Arial"/>
          <w:color w:val="1A1A1A"/>
        </w:rPr>
        <w:t>frequently as service providers to Parishes and Deaneries?</w:t>
      </w:r>
    </w:p>
    <w:p w14:paraId="69028388" w14:textId="77777777" w:rsidR="00200712" w:rsidRPr="00200712" w:rsidRDefault="00200712" w:rsidP="00200712">
      <w:pPr>
        <w:rPr>
          <w:rFonts w:cs="Arial"/>
          <w:color w:val="1A1A1A"/>
        </w:rPr>
      </w:pPr>
    </w:p>
    <w:p w14:paraId="37C75B09" w14:textId="77777777" w:rsidR="00200712" w:rsidRPr="007C64D8" w:rsidRDefault="00200712" w:rsidP="00200712">
      <w:pPr>
        <w:pStyle w:val="ListParagraph"/>
        <w:ind w:left="360"/>
        <w:rPr>
          <w:rFonts w:cs="Arial"/>
          <w:color w:val="1A1A1A"/>
        </w:rPr>
      </w:pPr>
    </w:p>
    <w:p w14:paraId="5AB000A7" w14:textId="77777777" w:rsidR="000C3969" w:rsidRPr="00AF5EA8" w:rsidRDefault="000C3969" w:rsidP="000429A6"/>
    <w:p w14:paraId="183F127F" w14:textId="77777777" w:rsidR="00104225" w:rsidRPr="00AF5EA8" w:rsidRDefault="00104225" w:rsidP="000429A6"/>
    <w:p w14:paraId="3315704F" w14:textId="465D0B05" w:rsidR="00645842" w:rsidRPr="00AF5EA8" w:rsidRDefault="00645842"/>
    <w:sectPr w:rsidR="00645842" w:rsidRPr="00AF5EA8" w:rsidSect="00A709A6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93BD3" w14:textId="77777777" w:rsidR="00576D1F" w:rsidRDefault="00576D1F" w:rsidP="00AF5EA8">
      <w:r>
        <w:separator/>
      </w:r>
    </w:p>
  </w:endnote>
  <w:endnote w:type="continuationSeparator" w:id="0">
    <w:p w14:paraId="7432634D" w14:textId="77777777" w:rsidR="00576D1F" w:rsidRDefault="00576D1F" w:rsidP="00AF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E35A0" w14:textId="77777777" w:rsidR="00AF5EA8" w:rsidRDefault="00AF5EA8" w:rsidP="00467A2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CFB276" w14:textId="77777777" w:rsidR="00AF5EA8" w:rsidRDefault="00AF5EA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3B8EA" w14:textId="77777777" w:rsidR="00AF5EA8" w:rsidRDefault="00AF5EA8" w:rsidP="00467A2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D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9F1FCB" w14:textId="77777777" w:rsidR="00AF5EA8" w:rsidRDefault="00AF5EA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BEC54" w14:textId="77777777" w:rsidR="00576D1F" w:rsidRDefault="00576D1F" w:rsidP="00AF5EA8">
      <w:r>
        <w:separator/>
      </w:r>
    </w:p>
  </w:footnote>
  <w:footnote w:type="continuationSeparator" w:id="0">
    <w:p w14:paraId="09CEDED1" w14:textId="77777777" w:rsidR="00576D1F" w:rsidRDefault="00576D1F" w:rsidP="00AF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52F7"/>
    <w:multiLevelType w:val="hybridMultilevel"/>
    <w:tmpl w:val="12140DFC"/>
    <w:lvl w:ilvl="0" w:tplc="08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>
    <w:nsid w:val="0B7C3BCF"/>
    <w:multiLevelType w:val="hybridMultilevel"/>
    <w:tmpl w:val="7876A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77BC"/>
    <w:multiLevelType w:val="hybridMultilevel"/>
    <w:tmpl w:val="7AD4B3AA"/>
    <w:lvl w:ilvl="0" w:tplc="ECB8D9C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>
    <w:nsid w:val="137F35D4"/>
    <w:multiLevelType w:val="hybridMultilevel"/>
    <w:tmpl w:val="9FC279D0"/>
    <w:lvl w:ilvl="0" w:tplc="ECB8D9CA">
      <w:numFmt w:val="bullet"/>
      <w:lvlText w:val="•"/>
      <w:lvlJc w:val="left"/>
      <w:pPr>
        <w:ind w:left="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E2593"/>
    <w:multiLevelType w:val="hybridMultilevel"/>
    <w:tmpl w:val="7D0218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95ECB"/>
    <w:multiLevelType w:val="hybridMultilevel"/>
    <w:tmpl w:val="D59E9B9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E34E3"/>
    <w:multiLevelType w:val="hybridMultilevel"/>
    <w:tmpl w:val="446AF3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F634F"/>
    <w:multiLevelType w:val="hybridMultilevel"/>
    <w:tmpl w:val="DD14C2BC"/>
    <w:lvl w:ilvl="0" w:tplc="ECB8D9CA">
      <w:numFmt w:val="bullet"/>
      <w:lvlText w:val="•"/>
      <w:lvlJc w:val="left"/>
      <w:pPr>
        <w:ind w:left="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>
    <w:nsid w:val="3FDD3448"/>
    <w:multiLevelType w:val="hybridMultilevel"/>
    <w:tmpl w:val="E9AE7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013FBB"/>
    <w:multiLevelType w:val="hybridMultilevel"/>
    <w:tmpl w:val="4120E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7921D5"/>
    <w:multiLevelType w:val="hybridMultilevel"/>
    <w:tmpl w:val="3CBED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9619EE"/>
    <w:multiLevelType w:val="hybridMultilevel"/>
    <w:tmpl w:val="C5D4C9B6"/>
    <w:lvl w:ilvl="0" w:tplc="08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52665"/>
    <w:multiLevelType w:val="hybridMultilevel"/>
    <w:tmpl w:val="6B8E91E4"/>
    <w:lvl w:ilvl="0" w:tplc="ECB8D9C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3">
    <w:nsid w:val="68345AE8"/>
    <w:multiLevelType w:val="hybridMultilevel"/>
    <w:tmpl w:val="89B6A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76643A"/>
    <w:multiLevelType w:val="hybridMultilevel"/>
    <w:tmpl w:val="57DACDC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377ED3"/>
    <w:multiLevelType w:val="hybridMultilevel"/>
    <w:tmpl w:val="93887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12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18"/>
    <w:rsid w:val="000429A6"/>
    <w:rsid w:val="000770DD"/>
    <w:rsid w:val="00095564"/>
    <w:rsid w:val="000A2D48"/>
    <w:rsid w:val="000C3969"/>
    <w:rsid w:val="00104225"/>
    <w:rsid w:val="00121975"/>
    <w:rsid w:val="001867F6"/>
    <w:rsid w:val="001C0F44"/>
    <w:rsid w:val="001F5F53"/>
    <w:rsid w:val="00200712"/>
    <w:rsid w:val="00403C18"/>
    <w:rsid w:val="004216B2"/>
    <w:rsid w:val="00487F05"/>
    <w:rsid w:val="004B3531"/>
    <w:rsid w:val="00542944"/>
    <w:rsid w:val="00546E37"/>
    <w:rsid w:val="00576D1F"/>
    <w:rsid w:val="00617E2A"/>
    <w:rsid w:val="00645842"/>
    <w:rsid w:val="006B2CF8"/>
    <w:rsid w:val="006B6D8A"/>
    <w:rsid w:val="006D3A3F"/>
    <w:rsid w:val="006E7980"/>
    <w:rsid w:val="00785095"/>
    <w:rsid w:val="007C64D8"/>
    <w:rsid w:val="00856237"/>
    <w:rsid w:val="00910B92"/>
    <w:rsid w:val="009238B6"/>
    <w:rsid w:val="00A709A6"/>
    <w:rsid w:val="00AC143E"/>
    <w:rsid w:val="00AF5EA8"/>
    <w:rsid w:val="00B24319"/>
    <w:rsid w:val="00B91CB1"/>
    <w:rsid w:val="00C73612"/>
    <w:rsid w:val="00C9563E"/>
    <w:rsid w:val="00EC1324"/>
    <w:rsid w:val="00F25444"/>
    <w:rsid w:val="00F44AA5"/>
    <w:rsid w:val="00F665DE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B9E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5DE"/>
    <w:pPr>
      <w:ind w:left="720"/>
      <w:contextualSpacing/>
    </w:pPr>
  </w:style>
  <w:style w:type="table" w:styleId="TableGrid">
    <w:name w:val="Table Grid"/>
    <w:basedOn w:val="TableNormal"/>
    <w:uiPriority w:val="39"/>
    <w:rsid w:val="00C95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F5E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EA8"/>
  </w:style>
  <w:style w:type="character" w:styleId="PageNumber">
    <w:name w:val="page number"/>
    <w:basedOn w:val="DefaultParagraphFont"/>
    <w:uiPriority w:val="99"/>
    <w:semiHidden/>
    <w:unhideWhenUsed/>
    <w:rsid w:val="00AF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812</Words>
  <Characters>4635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Richter</dc:creator>
  <cp:keywords/>
  <dc:description/>
  <cp:lastModifiedBy>Anthony Richter</cp:lastModifiedBy>
  <cp:revision>7</cp:revision>
  <dcterms:created xsi:type="dcterms:W3CDTF">2026-02-16T10:13:00Z</dcterms:created>
  <dcterms:modified xsi:type="dcterms:W3CDTF">2026-02-24T14:45:00Z</dcterms:modified>
</cp:coreProperties>
</file>